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Стандартный рас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чет издержек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Название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государственной поддержки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</w:rPr>
        <w:t xml:space="preserve">постановлени</w:t>
      </w:r>
      <w:r>
        <w:rPr>
          <w:rFonts w:ascii="Times New Roman" w:hAnsi="Times New Roman" w:eastAsia="SimSun"/>
          <w:sz w:val="24"/>
          <w:szCs w:val="24"/>
        </w:rPr>
        <w:t xml:space="preserve">е</w:t>
      </w:r>
      <w:r>
        <w:rPr>
          <w:rFonts w:ascii="Times New Roman" w:hAnsi="Times New Roman" w:eastAsia="SimSun"/>
          <w:sz w:val="24"/>
          <w:szCs w:val="24"/>
        </w:rPr>
        <w:t xml:space="preserve"> Правительства Белгородской области «Об утверждении порядка </w:t>
      </w:r>
      <w:r>
        <w:rPr>
          <w:rFonts w:ascii="Times New Roman" w:hAnsi="Times New Roman" w:eastAsia="SimSun"/>
          <w:sz w:val="24"/>
          <w:szCs w:val="24"/>
        </w:rPr>
        <w:t xml:space="preserve">предоставления субсидий из областного бюджета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  <w:r>
        <w:rPr>
          <w:rFonts w:ascii="Times New Roman" w:hAnsi="Times New Roman" w:eastAsia="SimSun"/>
          <w:sz w:val="24"/>
          <w:szCs w:val="24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b/>
          <w:sz w:val="24"/>
          <w:szCs w:val="24"/>
        </w:rPr>
        <w:t xml:space="preserve">Максимальный размер </w:t>
      </w:r>
      <w:r>
        <w:rPr>
          <w:rFonts w:ascii="Times New Roman" w:hAnsi="Times New Roman" w:eastAsia="SimSun"/>
          <w:b/>
          <w:sz w:val="24"/>
          <w:szCs w:val="24"/>
        </w:rPr>
        <w:t xml:space="preserve">предоставляемо</w:t>
      </w:r>
      <w:r>
        <w:rPr>
          <w:rFonts w:ascii="Times New Roman" w:hAnsi="Times New Roman" w:eastAsia="SimSun"/>
          <w:b/>
          <w:sz w:val="24"/>
          <w:szCs w:val="24"/>
        </w:rPr>
        <w:t xml:space="preserve">й</w:t>
      </w:r>
      <w:r>
        <w:rPr>
          <w:rFonts w:ascii="Times New Roman" w:hAnsi="Times New Roman" w:eastAsia="SimSun"/>
          <w:b/>
          <w:sz w:val="24"/>
          <w:szCs w:val="24"/>
        </w:rPr>
        <w:t xml:space="preserve"> </w:t>
      </w:r>
      <w:r>
        <w:rPr>
          <w:rFonts w:ascii="Times New Roman" w:hAnsi="Times New Roman" w:eastAsia="SimSun"/>
          <w:b/>
          <w:sz w:val="24"/>
          <w:szCs w:val="24"/>
        </w:rPr>
        <w:t xml:space="preserve">субсидии</w:t>
      </w:r>
      <w:r>
        <w:rPr>
          <w:rFonts w:ascii="Times New Roman" w:hAnsi="Times New Roman" w:eastAsia="SimSun"/>
          <w:b/>
          <w:sz w:val="24"/>
          <w:szCs w:val="24"/>
        </w:rPr>
        <w:t xml:space="preserve">:</w:t>
      </w:r>
      <w:r>
        <w:rPr>
          <w:rFonts w:ascii="Times New Roman" w:hAnsi="Times New Roman" w:eastAsia="SimSun"/>
          <w:sz w:val="24"/>
          <w:szCs w:val="24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</w:rPr>
        <w:t xml:space="preserve">Возмещению подлежат фактически осуществленные получателем Субсидии расходы по ставкам на 1 тонну реализованных картофеля и овощей открытого грунта. Ставки ежегодно утверждаются правовым актом Министерства исходя из доведенных лимитов бюджетных средств.</w:t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Тип требования</w:t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Подготовка 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пред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ставление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документов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Частота: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 в год</w:t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Масштаб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не менее 40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ед.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Действия: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Предоставление пакета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реестр произведенных затрат, направленных на производство картофеля и овощей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открытого грунта, по форме согласно приложению № 1 к Порядку, подписанный участником отбора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чел./час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расчет размера Субсидий по форме согласно приложению № 2 к Порядку, подписанный участником отбора и заверенный органом управления агропромышленного комплекса муниципального образования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чел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/час;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копия паспорта гражданина Российской Федерации и СНИЛС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0,25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чел./час;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справка о постановке на учет (снятии с учета) физического лица в качестве плательщика налога на профессиональный доход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0,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 чел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/час;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выписка(и) из похозяйственной книги, подтверждающая(ие) ведение производственной деятельности не менее чем в течение 12 месяцев, предшествующих году предоставления Субсидии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- 0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 чел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/часа;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копия реквизитов расчетного счета участника отбора, открытого им в российской кредитной организации, или справка банка об открытии рублевого счета с реквизитами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0,2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чел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/час;</w:t>
      </w:r>
      <w: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копии правоустанавливающих документов на земельные участки, занятые посевами 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артофеля и овощей открытого грунта: копии свидетельства на право собственности, или выписки из Единого государственного реестра недвижимости, или копии договоров аренды (субаренды) с видом разрешенного использования для ведения личного подсобного хозяйства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0,25 чел/час;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копии документов, подтверждающих приобретение (поставку) средств производства, указанных в пункте 1.8 раздела I Порядка, в том числе: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договоры (контракты) на поставку;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товарно-транспортные накладные, акты приема-передачи или универсальные передаточные документы;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товарные чеки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чел/час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копии документов, подтверждающих расходы на приобретение средств производства, указанных в пункте 1.8 раздела I Порядка, в том числе: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платежные поручения, подтверждающие оплату, включая авансовые платежи;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документы, сформированные с применением контрольно-кассовой техники (кассовые чеки)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1,5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чел/час;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копии документов, подтверждающих факт реализации произведенной продукции: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чеки, сформированные через мобильное приложение ФНС «Мой налог» или через сервис ФНС «Мой налог»;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накладные, товарные чеки или акты приема-передачи на реализованную продукцию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чел/час;</w:t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Среднемесячная заработная плата по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Белгородской области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54 164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руб. </w:t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Средняя стоимость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часа работы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322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(54164руб./21 день/8 час.)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Общая стоимость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трудозатрат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112 84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руб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(322,4 руб.*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7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 чел./час*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ед.)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597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</w:t>
      </w:r>
      <w:r>
        <w:rPr>
          <w:rFonts w:ascii="Times New Roman" w:hAnsi="Times New Roman"/>
          <w:sz w:val="24"/>
          <w:szCs w:val="24"/>
        </w:rPr>
        <w:t xml:space="preserve">на 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-2026 годы предусмотрено «</w:t>
      </w:r>
      <w:r>
        <w:rPr>
          <w:rFonts w:ascii="Times New Roman" w:hAnsi="Times New Roman"/>
          <w:sz w:val="24"/>
          <w:szCs w:val="24"/>
        </w:rPr>
        <w:t xml:space="preserve">Соглашением о предоставлении субсидии из федерального бюджета бюджету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» в объемах – </w:t>
      </w:r>
      <w:r>
        <w:rPr>
          <w:rFonts w:ascii="Times New Roman" w:hAnsi="Times New Roman"/>
          <w:sz w:val="24"/>
          <w:szCs w:val="24"/>
        </w:rPr>
        <w:t xml:space="preserve">7751,97369 тыс. руб, </w:t>
      </w:r>
      <w:r>
        <w:rPr>
          <w:rFonts w:ascii="Times New Roman" w:hAnsi="Times New Roman"/>
          <w:sz w:val="24"/>
          <w:szCs w:val="24"/>
        </w:rPr>
        <w:t xml:space="preserve">6478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78378 </w:t>
      </w:r>
      <w:r>
        <w:rPr>
          <w:rFonts w:ascii="Times New Roman" w:hAnsi="Times New Roman"/>
          <w:sz w:val="24"/>
          <w:szCs w:val="24"/>
        </w:rPr>
        <w:t xml:space="preserve">тыс. руб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8503,4375</w:t>
      </w:r>
      <w:r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598">
    <w:name w:val="Основной шрифт абзаца"/>
    <w:next w:val="598"/>
    <w:link w:val="597"/>
    <w:uiPriority w:val="1"/>
    <w:unhideWhenUsed/>
  </w:style>
  <w:style w:type="table" w:styleId="599">
    <w:name w:val="Обычная таблица"/>
    <w:next w:val="599"/>
    <w:link w:val="597"/>
    <w:uiPriority w:val="99"/>
    <w:semiHidden/>
    <w:unhideWhenUsed/>
    <w:tblPr/>
  </w:style>
  <w:style w:type="numbering" w:styleId="600">
    <w:name w:val="Нет списка"/>
    <w:next w:val="600"/>
    <w:link w:val="597"/>
    <w:uiPriority w:val="99"/>
    <w:semiHidden/>
    <w:unhideWhenUsed/>
  </w:style>
  <w:style w:type="paragraph" w:styleId="601">
    <w:name w:val="Текст выноски"/>
    <w:basedOn w:val="597"/>
    <w:next w:val="601"/>
    <w:link w:val="60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2">
    <w:name w:val="Текст выноски Знак"/>
    <w:next w:val="602"/>
    <w:link w:val="601"/>
    <w:uiPriority w:val="99"/>
    <w:semiHidden/>
    <w:rPr>
      <w:rFonts w:ascii="Segoe UI" w:hAnsi="Segoe UI" w:cs="Segoe UI"/>
      <w:sz w:val="18"/>
      <w:szCs w:val="18"/>
    </w:rPr>
  </w:style>
  <w:style w:type="character" w:styleId="888" w:default="1">
    <w:name w:val="Default Paragraph Font"/>
    <w:uiPriority w:val="1"/>
    <w:semiHidden/>
    <w:unhideWhenUsed/>
  </w:style>
  <w:style w:type="numbering" w:styleId="889" w:default="1">
    <w:name w:val="No List"/>
    <w:uiPriority w:val="99"/>
    <w:semiHidden/>
    <w:unhideWhenUsed/>
  </w:style>
  <w:style w:type="table" w:styleId="8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revision>9</cp:revision>
  <dcterms:created xsi:type="dcterms:W3CDTF">2022-12-28T07:59:00Z</dcterms:created>
  <dcterms:modified xsi:type="dcterms:W3CDTF">2024-04-26T07:02:42Z</dcterms:modified>
  <cp:version>1048576</cp:version>
</cp:coreProperties>
</file>