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816"/>
        <w:jc w:val="center"/>
        <w:rPr>
          <w:rFonts w:ascii="Times New Roman" w:hAnsi="Times New Roman" w:cs="Times New Roman"/>
          <w:b/>
          <w:sz w:val="26"/>
          <w:szCs w:val="26"/>
        </w:rPr>
      </w:pPr>
      <w:r/>
      <w:bookmarkStart w:id="0" w:name="P439"/>
      <w:r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Сводный отчет</w:t>
      </w:r>
      <w:r/>
    </w:p>
    <w:p>
      <w:pPr>
        <w:pStyle w:val="81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результатах проведения оценки регулирующего воздействия</w:t>
      </w:r>
      <w:r/>
    </w:p>
    <w:p>
      <w:pPr>
        <w:pStyle w:val="81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проекта нормативного правового акта</w:t>
      </w:r>
      <w:r/>
    </w:p>
    <w:p>
      <w:pPr>
        <w:pStyle w:val="81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bCs/>
          <w:sz w:val="26"/>
          <w:szCs w:val="26"/>
        </w:rPr>
      </w:pPr>
      <w:r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  <w:t xml:space="preserve">1. Общая информация: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  <w:lang w:eastAsia="ru-RU"/>
        </w:rPr>
        <w:t xml:space="preserve">1.1. Орган-разработчик (инициатор проекта закона Белгородской области): </w:t>
      </w:r>
      <w:r>
        <w:rPr>
          <w:rFonts w:ascii="Times New Roman" w:hAnsi="Times New Roman" w:eastAsia="Calibri" w:cs="Times New Roman"/>
          <w:sz w:val="26"/>
          <w:szCs w:val="26"/>
        </w:rPr>
        <w:t xml:space="preserve">департамент устойчивого развития сельских территорий министерства сельского хозяйства и продовольствия Белгородской области.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  <w:lang w:eastAsia="ru-RU"/>
        </w:rPr>
        <w:t xml:space="preserve">1.2. Вид</w:t>
      </w:r>
      <w:bookmarkStart w:id="1" w:name="_GoBack"/>
      <w:r/>
      <w:bookmarkEnd w:id="1"/>
      <w:r>
        <w:rPr>
          <w:rFonts w:ascii="Times New Roman" w:hAnsi="Times New Roman" w:eastAsia="Calibri" w:cs="Times New Roman"/>
          <w:sz w:val="26"/>
          <w:szCs w:val="26"/>
          <w:lang w:eastAsia="ru-RU"/>
        </w:rPr>
        <w:t xml:space="preserve"> и наименование проекта нормативного правового акта:</w:t>
      </w:r>
      <w:r/>
    </w:p>
    <w:p>
      <w:pPr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проект постановления Правительства Белгородской области «</w:t>
      </w:r>
      <w:bookmarkStart w:id="2" w:name="_Hlk159860480"/>
      <w:r>
        <w:rPr>
          <w:rFonts w:ascii="Times New Roman" w:hAnsi="Times New Roman" w:eastAsia="Calibri" w:cs="Times New Roman"/>
          <w:sz w:val="26"/>
          <w:szCs w:val="26"/>
        </w:rPr>
        <w:t xml:space="preserve">О внесении изменений в постановление Правительства Белгородской области от 22 июня 2015 года № 251-пп</w:t>
      </w:r>
      <w:bookmarkEnd w:id="2"/>
      <w:r>
        <w:rPr>
          <w:rFonts w:ascii="Times New Roman" w:hAnsi="Times New Roman" w:eastAsia="Calibri" w:cs="Times New Roman"/>
          <w:sz w:val="26"/>
          <w:szCs w:val="26"/>
        </w:rPr>
        <w:t xml:space="preserve">».</w:t>
      </w:r>
      <w:r/>
    </w:p>
    <w:p>
      <w:pPr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1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.3. Сроки проведения публичного обсуждения проекта </w:t>
      </w:r>
      <w:r>
        <w:rPr>
          <w:rFonts w:ascii="Times New Roman" w:hAnsi="Times New Roman" w:eastAsia="Times New Roman" w:cs="Times New Roman"/>
          <w:bCs/>
          <w:sz w:val="26"/>
          <w:szCs w:val="26"/>
        </w:rPr>
        <w:t xml:space="preserve">нормативного правового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акта: начало: «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2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8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» февраля 2024 г., окончание «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1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3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» марта 2024 г.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1.4. Степень регулирующего воздействия проекта нормативного правового акта: </w:t>
      </w:r>
      <w:r>
        <w:rPr>
          <w:rFonts w:ascii="Times New Roman" w:hAnsi="Times New Roman" w:eastAsia="Calibri" w:cs="Times New Roman"/>
          <w:b/>
          <w:bCs/>
          <w:sz w:val="26"/>
          <w:szCs w:val="26"/>
        </w:rPr>
        <w:t xml:space="preserve">средняя.</w:t>
      </w:r>
      <w:r>
        <w:rPr>
          <w:rFonts w:ascii="Times New Roman" w:hAnsi="Times New Roman" w:eastAsia="Calibri" w:cs="Times New Roman"/>
          <w:sz w:val="26"/>
          <w:szCs w:val="26"/>
        </w:rPr>
        <w:t xml:space="preserve"> Проектом постановления Правительства Белгородской области «</w:t>
      </w:r>
      <w:r>
        <w:rPr>
          <w:rFonts w:ascii="Times New Roman" w:hAnsi="Times New Roman" w:eastAsia="Calibri" w:cs="Times New Roman"/>
          <w:sz w:val="26"/>
          <w:szCs w:val="26"/>
        </w:rPr>
        <w:t xml:space="preserve">О внесении изменений в постановление Правительства Белгородской области от 22 июня 2015 года № 251-пп</w:t>
      </w:r>
      <w:r>
        <w:rPr>
          <w:rFonts w:ascii="Times New Roman" w:hAnsi="Times New Roman" w:eastAsia="Calibri" w:cs="Times New Roman"/>
          <w:sz w:val="26"/>
          <w:szCs w:val="26"/>
        </w:rPr>
        <w:t xml:space="preserve">» меняется порядок  проведение конкурсного отбора (через систему «Электронный бюджет» и федеральной государственной информационной системы «Единая</w:t>
      </w:r>
      <w:r>
        <w:rPr>
          <w:rFonts w:ascii="Times New Roman" w:hAnsi="Times New Roman" w:eastAsia="Calibri" w:cs="Times New Roman"/>
          <w:sz w:val="26"/>
          <w:szCs w:val="26"/>
        </w:rPr>
        <w:t xml:space="preserve">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                       в электронной форме», </w:t>
      </w:r>
      <w:r>
        <w:rPr>
          <w:rFonts w:ascii="Times New Roman" w:hAnsi="Times New Roman" w:eastAsia="Calibri" w:cs="Times New Roman"/>
          <w:sz w:val="26"/>
          <w:szCs w:val="26"/>
        </w:rPr>
        <w:t xml:space="preserve">также </w:t>
      </w:r>
      <w:r>
        <w:rPr>
          <w:rFonts w:ascii="Times New Roman" w:hAnsi="Times New Roman" w:eastAsia="Calibri" w:cs="Times New Roman"/>
          <w:sz w:val="26"/>
          <w:szCs w:val="26"/>
        </w:rPr>
        <w:t xml:space="preserve">расширяется перечень </w:t>
      </w:r>
      <w:r>
        <w:rPr>
          <w:rFonts w:ascii="Times New Roman" w:hAnsi="Times New Roman" w:eastAsia="Calibri" w:cs="Times New Roman"/>
          <w:sz w:val="26"/>
          <w:szCs w:val="26"/>
        </w:rPr>
        <w:t xml:space="preserve">вид</w:t>
      </w:r>
      <w:r>
        <w:rPr>
          <w:rFonts w:ascii="Times New Roman" w:hAnsi="Times New Roman" w:eastAsia="Calibri" w:cs="Times New Roman"/>
          <w:sz w:val="26"/>
          <w:szCs w:val="26"/>
        </w:rPr>
        <w:t xml:space="preserve">ов</w:t>
      </w:r>
      <w:r>
        <w:rPr>
          <w:rFonts w:ascii="Times New Roman" w:hAnsi="Times New Roman" w:eastAsia="Calibri" w:cs="Times New Roman"/>
          <w:sz w:val="26"/>
          <w:szCs w:val="26"/>
        </w:rPr>
        <w:t xml:space="preserve"> поддержки</w:t>
      </w:r>
      <w:r>
        <w:rPr>
          <w:rFonts w:ascii="Times New Roman" w:hAnsi="Times New Roman" w:eastAsia="Calibri" w:cs="Times New Roman"/>
          <w:sz w:val="26"/>
          <w:szCs w:val="26"/>
        </w:rPr>
        <w:t xml:space="preserve"> для </w:t>
      </w:r>
      <w:r>
        <w:rPr>
          <w:rFonts w:ascii="Times New Roman" w:hAnsi="Times New Roman" w:eastAsia="Calibri" w:cs="Times New Roman"/>
          <w:sz w:val="26"/>
          <w:szCs w:val="26"/>
        </w:rPr>
        <w:t xml:space="preserve">сельскохозяйственных потребительских кооперативов</w:t>
      </w:r>
      <w:r>
        <w:rPr>
          <w:rFonts w:ascii="Times New Roman" w:hAnsi="Times New Roman" w:eastAsia="Calibri" w:cs="Times New Roman"/>
          <w:sz w:val="26"/>
          <w:szCs w:val="26"/>
        </w:rPr>
        <w:t xml:space="preserve"> осуществляющих деятельность менее 12 месяцев со дня регистрации.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- </w:t>
      </w:r>
      <w:r>
        <w:rPr>
          <w:rFonts w:ascii="Times New Roman" w:hAnsi="Times New Roman" w:eastAsia="Calibri" w:cs="Times New Roman"/>
          <w:sz w:val="26"/>
          <w:szCs w:val="26"/>
        </w:rPr>
        <w:t xml:space="preserve">утверждается порядок предоставления грантов на поддержку начинающих сельскохозяйственных потребительских кооперативов для развития материально-технической базы.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1.5. Контактная информация об исполнителе в органе-разработчике: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Ф.И.О.: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 </w:t>
      </w:r>
      <w:bookmarkStart w:id="3" w:name="_Hlk159860549"/>
      <w:r>
        <w:rPr>
          <w:rFonts w:ascii="Times New Roman" w:hAnsi="Times New Roman" w:eastAsia="Times New Roman" w:cs="Times New Roman"/>
          <w:sz w:val="26"/>
          <w:szCs w:val="26"/>
        </w:rPr>
        <w:t xml:space="preserve">Колистратова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 Наталья Александровна</w:t>
      </w:r>
      <w:bookmarkEnd w:id="3"/>
      <w:r/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Должность: </w:t>
      </w:r>
      <w:bookmarkStart w:id="4" w:name="_Hlk159860577"/>
      <w:r>
        <w:rPr>
          <w:rFonts w:ascii="Times New Roman" w:hAnsi="Times New Roman" w:eastAsia="Times New Roman" w:cs="Times New Roman"/>
          <w:sz w:val="26"/>
          <w:szCs w:val="26"/>
        </w:rPr>
        <w:t xml:space="preserve">заместитель начальника отдела государственной поддержки малых форм департамента устойчивого развития сельских территорий министерства сельского хозяйства и продовольствия Белгородской области</w:t>
      </w:r>
      <w:bookmarkEnd w:id="4"/>
      <w:r/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Тел.: 8 (4722) 24-76-4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3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. Адрес электронной почты: </w:t>
      </w:r>
      <w:bookmarkStart w:id="5" w:name="_Hlk159860523"/>
      <w:r>
        <w:rPr>
          <w:rFonts w:ascii="Times New Roman" w:hAnsi="Times New Roman" w:cs="Times New Roman"/>
          <w:sz w:val="26"/>
          <w:szCs w:val="26"/>
        </w:rPr>
        <w:t xml:space="preserve">kna@belapk.ru</w:t>
      </w:r>
      <w:bookmarkEnd w:id="5"/>
      <w:r/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2. Описание проблемы, на решение которой направлено вводимое правовое регулирование: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2.1. Проблема, на решение которой направлен предлагаемый способ правового регулирования: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- необходимость упрощения </w:t>
      </w:r>
      <w:r>
        <w:rPr>
          <w:rFonts w:ascii="Times New Roman" w:hAnsi="Times New Roman" w:eastAsia="Calibri" w:cs="Times New Roman"/>
          <w:sz w:val="26"/>
          <w:szCs w:val="26"/>
        </w:rPr>
        <w:t xml:space="preserve">процедуры проведение конкурсного отбора по предоставлению грантов на развития материально-технической базы кооперативов (без очного присутствия в Министерстве при предоставлении заявочной документации, электронное предоставление заявочной документации);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- необходимость оказания государственной поддержки </w:t>
      </w:r>
      <w:r>
        <w:rPr>
          <w:rFonts w:ascii="Times New Roman" w:hAnsi="Times New Roman" w:eastAsia="Calibri" w:cs="Times New Roman"/>
          <w:sz w:val="26"/>
          <w:szCs w:val="26"/>
        </w:rPr>
        <w:t xml:space="preserve">для </w:t>
      </w:r>
      <w:r>
        <w:rPr>
          <w:rFonts w:ascii="Times New Roman" w:hAnsi="Times New Roman" w:eastAsia="Calibri" w:cs="Times New Roman"/>
          <w:sz w:val="26"/>
          <w:szCs w:val="26"/>
        </w:rPr>
        <w:t xml:space="preserve">начинающих сельскохозяйственных потребительских кооперативов</w:t>
      </w:r>
      <w:r>
        <w:rPr>
          <w:rFonts w:ascii="Times New Roman" w:hAnsi="Times New Roman" w:eastAsia="Calibri" w:cs="Times New Roman"/>
          <w:sz w:val="26"/>
          <w:szCs w:val="26"/>
        </w:rPr>
        <w:t xml:space="preserve"> </w:t>
      </w:r>
      <w:r>
        <w:rPr>
          <w:rFonts w:ascii="Times New Roman" w:hAnsi="Times New Roman" w:eastAsia="Calibri" w:cs="Times New Roman"/>
          <w:sz w:val="26"/>
          <w:szCs w:val="26"/>
        </w:rPr>
        <w:t xml:space="preserve">(действующим менее 12 месяцев со дня регистрации)</w:t>
      </w:r>
      <w:r>
        <w:rPr>
          <w:rFonts w:ascii="Times New Roman" w:hAnsi="Times New Roman" w:eastAsia="Calibri" w:cs="Times New Roman"/>
          <w:sz w:val="26"/>
          <w:szCs w:val="26"/>
        </w:rPr>
        <w:t xml:space="preserve">.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2.2. Информация о возникновении и выявлении проблемы: мониторинг мер поддержки сельскохозяйственных предприятий области.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2.3. Негативные эффекты, возникающие в связи с наличием рассматриваемой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проблемы: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- невозможность получения федерального финансирования на развитие малых форм хозяйствования без утверждения регионального нормативно-правового акта;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- невозможность проведения конкурсных мероприятий, отсутствие альтернативных безвозмездных методов поддержки сельскохозяйственных потребительских кооперативов в современных условиях;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- невозможность получения грантовой поддержки в целях дальнейшего развития сельскохозяйственных потребительских </w:t>
      </w:r>
      <w:r>
        <w:rPr>
          <w:rFonts w:ascii="Times New Roman" w:hAnsi="Times New Roman" w:eastAsia="Calibri" w:cs="Times New Roman"/>
          <w:sz w:val="26"/>
          <w:szCs w:val="26"/>
        </w:rPr>
        <w:t xml:space="preserve">кооперативов.</w:t>
      </w:r>
      <w:r>
        <w:rPr>
          <w:rFonts w:ascii="Times New Roman" w:hAnsi="Times New Roman" w:eastAsia="Calibri" w:cs="Times New Roman"/>
          <w:sz w:val="26"/>
          <w:szCs w:val="26"/>
        </w:rPr>
        <w:t xml:space="preserve">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2.4. Анализ опыта иных субъектов Российской Федерации </w:t>
      </w:r>
      <w:r>
        <w:rPr>
          <w:rFonts w:ascii="Times New Roman" w:hAnsi="Times New Roman" w:eastAsia="Calibri" w:cs="Times New Roman"/>
          <w:sz w:val="26"/>
          <w:szCs w:val="26"/>
        </w:rPr>
        <w:br/>
        <w:t xml:space="preserve">в соответствующих сферах </w:t>
      </w:r>
      <w:r>
        <w:rPr>
          <w:rFonts w:ascii="Times New Roman" w:hAnsi="Times New Roman" w:eastAsia="Calibri" w:cs="Times New Roman"/>
          <w:sz w:val="26"/>
          <w:szCs w:val="26"/>
        </w:rPr>
        <w:t xml:space="preserve">деятельности:*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Анализ опыта иных субъектов Российской Федерации</w:t>
      </w:r>
      <w:r>
        <w:rPr>
          <w:rFonts w:ascii="Times New Roman" w:hAnsi="Times New Roman" w:eastAsia="Calibri" w:cs="Times New Roman"/>
          <w:sz w:val="26"/>
          <w:szCs w:val="26"/>
        </w:rPr>
        <w:t xml:space="preserve"> показал, что </w:t>
      </w:r>
      <w:r>
        <w:rPr>
          <w:rFonts w:ascii="Times New Roman" w:hAnsi="Times New Roman" w:eastAsia="Calibri" w:cs="Times New Roman"/>
          <w:sz w:val="26"/>
          <w:szCs w:val="26"/>
        </w:rPr>
        <w:t xml:space="preserve">органам</w:t>
      </w:r>
      <w:r>
        <w:rPr>
          <w:rFonts w:ascii="Times New Roman" w:hAnsi="Times New Roman" w:eastAsia="Calibri" w:cs="Times New Roman"/>
          <w:sz w:val="26"/>
          <w:szCs w:val="26"/>
        </w:rPr>
        <w:t xml:space="preserve">и исполнительной власти всех субъектов Российской Федерации ведутся работы по принятию аналогичных нормативных правовых актов, предусматривающих изменение действующих положений и порядков предоставления государственной поддержки сельхозтоваропроизводителям</w:t>
      </w:r>
      <w:r>
        <w:rPr>
          <w:rFonts w:ascii="Times New Roman" w:hAnsi="Times New Roman" w:eastAsia="Calibri" w:cs="Times New Roman"/>
          <w:sz w:val="26"/>
          <w:szCs w:val="26"/>
        </w:rPr>
        <w:t xml:space="preserve">.</w:t>
      </w:r>
      <w:r>
        <w:rPr>
          <w:rFonts w:ascii="Times New Roman" w:hAnsi="Times New Roman" w:eastAsia="Calibri" w:cs="Times New Roman"/>
          <w:sz w:val="26"/>
          <w:szCs w:val="26"/>
        </w:rPr>
        <w:t xml:space="preserve">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Так Правительством </w:t>
      </w:r>
      <w:r>
        <w:rPr>
          <w:rFonts w:ascii="Times New Roman" w:hAnsi="Times New Roman" w:eastAsia="Calibri" w:cs="Times New Roman"/>
          <w:sz w:val="26"/>
          <w:szCs w:val="26"/>
        </w:rPr>
        <w:t xml:space="preserve">Ростовской области 05.02.2024 </w:t>
      </w:r>
      <w:r>
        <w:rPr>
          <w:rFonts w:ascii="Times New Roman" w:hAnsi="Times New Roman" w:eastAsia="Calibri" w:cs="Times New Roman"/>
          <w:sz w:val="26"/>
          <w:szCs w:val="26"/>
        </w:rPr>
        <w:t xml:space="preserve">принято </w:t>
      </w:r>
      <w:r>
        <w:rPr>
          <w:rFonts w:ascii="Times New Roman" w:hAnsi="Times New Roman" w:eastAsia="Calibri" w:cs="Times New Roman"/>
          <w:sz w:val="26"/>
          <w:szCs w:val="26"/>
        </w:rPr>
        <w:t xml:space="preserve">постановление</w:t>
      </w:r>
      <w:r>
        <w:rPr>
          <w:rFonts w:ascii="Times New Roman" w:hAnsi="Times New Roman" w:eastAsia="Calibri" w:cs="Times New Roman"/>
          <w:sz w:val="26"/>
          <w:szCs w:val="26"/>
        </w:rPr>
        <w:t xml:space="preserve">                  </w:t>
      </w:r>
      <w:r>
        <w:rPr>
          <w:rFonts w:ascii="Times New Roman" w:hAnsi="Times New Roman" w:eastAsia="Calibri" w:cs="Times New Roman"/>
          <w:sz w:val="26"/>
          <w:szCs w:val="26"/>
        </w:rPr>
        <w:t xml:space="preserve">№ 42</w:t>
      </w:r>
      <w:r>
        <w:rPr>
          <w:rFonts w:ascii="Times New Roman" w:hAnsi="Times New Roman" w:eastAsia="Calibri" w:cs="Times New Roman"/>
          <w:sz w:val="26"/>
          <w:szCs w:val="26"/>
        </w:rPr>
        <w:t xml:space="preserve"> «</w:t>
      </w:r>
      <w:r>
        <w:rPr>
          <w:rFonts w:ascii="Times New Roman" w:hAnsi="Times New Roman" w:eastAsia="Calibri" w:cs="Times New Roman"/>
          <w:sz w:val="26"/>
          <w:szCs w:val="26"/>
        </w:rPr>
        <w:t xml:space="preserve">О внесении изменений</w:t>
      </w:r>
      <w:r>
        <w:rPr>
          <w:rFonts w:ascii="Times New Roman" w:hAnsi="Times New Roman" w:eastAsia="Calibri" w:cs="Times New Roman"/>
          <w:sz w:val="26"/>
          <w:szCs w:val="26"/>
        </w:rPr>
        <w:t xml:space="preserve"> </w:t>
      </w:r>
      <w:r>
        <w:rPr>
          <w:rFonts w:ascii="Times New Roman" w:hAnsi="Times New Roman" w:eastAsia="Calibri" w:cs="Times New Roman"/>
          <w:sz w:val="26"/>
          <w:szCs w:val="26"/>
        </w:rPr>
        <w:t xml:space="preserve">в постановление Правительства</w:t>
      </w:r>
      <w:r>
        <w:rPr>
          <w:rFonts w:ascii="Times New Roman" w:hAnsi="Times New Roman" w:eastAsia="Calibri" w:cs="Times New Roman"/>
          <w:sz w:val="26"/>
          <w:szCs w:val="26"/>
        </w:rPr>
        <w:t xml:space="preserve"> </w:t>
      </w:r>
      <w:r>
        <w:rPr>
          <w:rFonts w:ascii="Times New Roman" w:hAnsi="Times New Roman" w:eastAsia="Calibri" w:cs="Times New Roman"/>
          <w:sz w:val="26"/>
          <w:szCs w:val="26"/>
        </w:rPr>
        <w:t xml:space="preserve">Ростовской области от 14.06.2022 № 521«О порядке предос</w:t>
      </w:r>
      <w:r>
        <w:rPr>
          <w:rFonts w:ascii="Times New Roman" w:hAnsi="Times New Roman" w:eastAsia="Calibri" w:cs="Times New Roman"/>
          <w:sz w:val="26"/>
          <w:szCs w:val="26"/>
        </w:rPr>
        <w:t xml:space="preserve">тавления субсидии на стимулирование развития приоритетных подотраслей агропромышленного комплекса и развитие малых форм хозяйствования в целях предоставления гранта на развитие материально-технической базы сельскохозяйственных потребительских кооперативов»</w:t>
      </w:r>
      <w:r>
        <w:rPr>
          <w:rFonts w:ascii="Times New Roman" w:hAnsi="Times New Roman" w:eastAsia="Calibri" w:cs="Times New Roman"/>
          <w:sz w:val="26"/>
          <w:szCs w:val="26"/>
        </w:rPr>
        <w:t xml:space="preserve">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Кабинет</w:t>
      </w:r>
      <w:r>
        <w:rPr>
          <w:rFonts w:ascii="Times New Roman" w:hAnsi="Times New Roman" w:eastAsia="Calibri" w:cs="Times New Roman"/>
          <w:sz w:val="26"/>
          <w:szCs w:val="26"/>
        </w:rPr>
        <w:t xml:space="preserve">ом</w:t>
      </w:r>
      <w:r>
        <w:rPr>
          <w:rFonts w:ascii="Times New Roman" w:hAnsi="Times New Roman" w:eastAsia="Calibri" w:cs="Times New Roman"/>
          <w:sz w:val="26"/>
          <w:szCs w:val="26"/>
        </w:rPr>
        <w:t xml:space="preserve"> Министров Республики Татарстан </w:t>
      </w:r>
      <w:r>
        <w:rPr>
          <w:rFonts w:ascii="Times New Roman" w:hAnsi="Times New Roman" w:eastAsia="Calibri" w:cs="Times New Roman"/>
          <w:sz w:val="26"/>
          <w:szCs w:val="26"/>
        </w:rPr>
        <w:t xml:space="preserve">готовится п</w:t>
      </w:r>
      <w:r>
        <w:rPr>
          <w:rFonts w:ascii="Times New Roman" w:hAnsi="Times New Roman" w:eastAsia="Calibri" w:cs="Times New Roman"/>
          <w:sz w:val="26"/>
          <w:szCs w:val="26"/>
        </w:rPr>
        <w:t xml:space="preserve">роект постановления «О внесении изменений в постановление кабинета Министров Республики Татарстан от 14 июля 2021 года № 572 «О мерах грантовой поддержки агропромышленного комплекса»</w:t>
      </w:r>
      <w:r>
        <w:rPr>
          <w:rFonts w:ascii="Times New Roman" w:hAnsi="Times New Roman" w:eastAsia="Calibri" w:cs="Times New Roman"/>
          <w:sz w:val="26"/>
          <w:szCs w:val="26"/>
        </w:rPr>
        <w:t xml:space="preserve">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3.Цели вводимого правового регулирования и измеримые показатели их достижения: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3.1. Описание целей предлагаемого правового регулирования: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У</w:t>
      </w:r>
      <w:r>
        <w:rPr>
          <w:rFonts w:ascii="Times New Roman" w:hAnsi="Times New Roman" w:eastAsia="Calibri" w:cs="Times New Roman"/>
          <w:sz w:val="26"/>
          <w:szCs w:val="26"/>
        </w:rPr>
        <w:t xml:space="preserve">прощения процедуры проведение конкурсного отбора по предоставлению грантов на развития материально-технической базы кооперативов</w:t>
      </w:r>
      <w:r>
        <w:rPr>
          <w:rFonts w:ascii="Times New Roman" w:hAnsi="Times New Roman" w:eastAsia="Calibri" w:cs="Times New Roman"/>
          <w:sz w:val="26"/>
          <w:szCs w:val="26"/>
        </w:rPr>
        <w:t xml:space="preserve">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-</w:t>
      </w:r>
      <w:r>
        <w:rPr>
          <w:rFonts w:ascii="Times New Roman" w:hAnsi="Times New Roman" w:eastAsia="Calibri" w:cs="Times New Roman"/>
          <w:sz w:val="26"/>
          <w:szCs w:val="26"/>
        </w:rPr>
        <w:t xml:space="preserve">без очного присутствия в Министерстве при предоставлении заявочной документ</w:t>
      </w:r>
      <w:r>
        <w:rPr>
          <w:rFonts w:ascii="Times New Roman" w:hAnsi="Times New Roman" w:eastAsia="Calibri" w:cs="Times New Roman"/>
          <w:sz w:val="26"/>
          <w:szCs w:val="26"/>
        </w:rPr>
        <w:t xml:space="preserve">ации</w:t>
      </w:r>
      <w:r>
        <w:rPr>
          <w:rFonts w:ascii="Times New Roman" w:hAnsi="Times New Roman" w:eastAsia="Calibri" w:cs="Times New Roman"/>
          <w:sz w:val="26"/>
          <w:szCs w:val="26"/>
        </w:rPr>
        <w:t xml:space="preserve">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-</w:t>
      </w:r>
      <w:r>
        <w:rPr>
          <w:rFonts w:ascii="Times New Roman" w:hAnsi="Times New Roman" w:eastAsia="Calibri" w:cs="Times New Roman"/>
          <w:sz w:val="26"/>
          <w:szCs w:val="26"/>
        </w:rPr>
        <w:t xml:space="preserve"> электронное предоставление заявочной документации</w:t>
      </w:r>
      <w:r>
        <w:rPr>
          <w:rFonts w:ascii="Times New Roman" w:hAnsi="Times New Roman" w:eastAsia="Calibri" w:cs="Times New Roman"/>
          <w:sz w:val="26"/>
          <w:szCs w:val="26"/>
        </w:rPr>
        <w:t xml:space="preserve">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-</w:t>
      </w:r>
      <w:r>
        <w:rPr>
          <w:rFonts w:ascii="Times New Roman" w:hAnsi="Times New Roman" w:eastAsia="Calibri" w:cs="Times New Roman"/>
          <w:sz w:val="26"/>
          <w:szCs w:val="26"/>
        </w:rPr>
        <w:t xml:space="preserve"> не предоставление заявителем документов и информации в целях подтверждения соответствия </w:t>
      </w:r>
      <w:r>
        <w:rPr>
          <w:rFonts w:ascii="Times New Roman" w:hAnsi="Times New Roman" w:eastAsia="Calibri" w:cs="Times New Roman"/>
          <w:sz w:val="26"/>
          <w:szCs w:val="26"/>
        </w:rPr>
        <w:t xml:space="preserve">заявителя</w:t>
      </w:r>
      <w:r>
        <w:rPr>
          <w:rFonts w:ascii="Times New Roman" w:hAnsi="Times New Roman" w:eastAsia="Calibri" w:cs="Times New Roman"/>
          <w:sz w:val="26"/>
          <w:szCs w:val="26"/>
        </w:rPr>
        <w:t xml:space="preserve"> требованиям</w:t>
      </w:r>
      <w:r>
        <w:t xml:space="preserve"> </w:t>
      </w:r>
      <w:r>
        <w:rPr>
          <w:rFonts w:ascii="Times New Roman" w:hAnsi="Times New Roman" w:eastAsia="Calibri" w:cs="Times New Roman"/>
          <w:sz w:val="26"/>
          <w:szCs w:val="26"/>
        </w:rPr>
        <w:t xml:space="preserve">при наличии соответствующей информации в государственных информационных системах, доступ к которым у Министерства имеется в рамках межведомственного электронного взаимодействия;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С</w:t>
      </w:r>
      <w:r>
        <w:rPr>
          <w:rFonts w:ascii="Times New Roman" w:hAnsi="Times New Roman" w:eastAsia="Calibri" w:cs="Times New Roman"/>
          <w:sz w:val="26"/>
          <w:szCs w:val="26"/>
        </w:rPr>
        <w:t xml:space="preserve">оздание оптимальных условий </w:t>
      </w:r>
      <w:r>
        <w:rPr>
          <w:rFonts w:ascii="Times New Roman" w:hAnsi="Times New Roman" w:eastAsia="Calibri" w:cs="Times New Roman"/>
          <w:sz w:val="26"/>
          <w:szCs w:val="26"/>
        </w:rPr>
        <w:t xml:space="preserve">оказания государственной поддержки начинающим сельскохозяйственным потребительским кооперативам</w:t>
      </w:r>
      <w:r>
        <w:rPr>
          <w:rFonts w:ascii="Times New Roman" w:hAnsi="Times New Roman" w:eastAsia="Calibri" w:cs="Times New Roman"/>
          <w:sz w:val="26"/>
          <w:szCs w:val="26"/>
        </w:rPr>
        <w:t xml:space="preserve"> (действующим менее 12 месяцев со дня регистрации)</w:t>
      </w:r>
      <w:r>
        <w:rPr>
          <w:rFonts w:ascii="Times New Roman" w:hAnsi="Times New Roman" w:eastAsia="Calibri" w:cs="Times New Roman"/>
          <w:sz w:val="26"/>
          <w:szCs w:val="26"/>
        </w:rPr>
        <w:t xml:space="preserve">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3.2. Обоснование соответствия целей предлагаемого правового регулирования принципам правового регулирования: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Проект нормативного правового акта разработан в соответствии </w:t>
      </w:r>
      <w:r>
        <w:rPr>
          <w:rFonts w:ascii="Times New Roman" w:hAnsi="Times New Roman" w:eastAsia="Calibri" w:cs="Times New Roman"/>
          <w:sz w:val="26"/>
          <w:szCs w:val="26"/>
        </w:rPr>
        <w:t xml:space="preserve">с пунктом 1 статьи 78, статьей 78.5 Бюджетного кодекса Российской Федерации, Государственной программой развития сельского хозяйства и регулирования рынков сельскохозяйственной продукции, сырья и продовольствия, утвержденной Пост</w:t>
      </w:r>
      <w:r>
        <w:rPr>
          <w:rFonts w:ascii="Times New Roman" w:hAnsi="Times New Roman" w:eastAsia="Calibri" w:cs="Times New Roman"/>
          <w:sz w:val="26"/>
          <w:szCs w:val="26"/>
        </w:rPr>
        <w:t xml:space="preserve">ановлением Правительства Российской Федерации от 14 июля 2012 года № 717, правилами отбора получателей субсидий, в том числе грантов в форме субсидий, предоставляемых из бюджетов бюджетной системы Российской Федерации юридическим лицам, индивидуальным пред</w:t>
      </w:r>
      <w:r>
        <w:rPr>
          <w:rFonts w:ascii="Times New Roman" w:hAnsi="Times New Roman" w:eastAsia="Calibri" w:cs="Times New Roman"/>
          <w:sz w:val="26"/>
          <w:szCs w:val="26"/>
        </w:rPr>
        <w:t xml:space="preserve">принимателям, а также физическим лицам - производителям товаров, работ, услуг, утвержденными Постановлением Правительства Российской Федерации от 25 октября 2023 года № 1781,  общими требованиями к нормативным правовым актам, муниципальным правовым актам, </w:t>
      </w:r>
      <w:r>
        <w:rPr>
          <w:rFonts w:ascii="Times New Roman" w:hAnsi="Times New Roman" w:eastAsia="Calibri" w:cs="Times New Roman"/>
          <w:sz w:val="26"/>
          <w:szCs w:val="26"/>
        </w:rPr>
        <w:t xml:space="preserve">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</w:t>
      </w:r>
      <w:r>
        <w:rPr>
          <w:rFonts w:ascii="Times New Roman" w:hAnsi="Times New Roman" w:eastAsia="Calibri" w:cs="Times New Roman"/>
          <w:sz w:val="26"/>
          <w:szCs w:val="26"/>
        </w:rPr>
        <w:t xml:space="preserve">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субсидий, утвержденными Постановлением Правительства Российской Федерации от 25 октября 2023 года № 1782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3.3. Сроки достижения целей предлагаемого правового регулирования:</w:t>
      </w:r>
      <w:r/>
    </w:p>
    <w:p>
      <w:pPr>
        <w:ind w:firstLine="709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Декабрь 2024 год.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3.4.</w:t>
      </w:r>
      <w:r>
        <w:rPr>
          <w:rFonts w:ascii="Times New Roman" w:hAnsi="Times New Roman" w:eastAsia="Calibri" w:cs="Times New Roman"/>
          <w:sz w:val="26"/>
          <w:szCs w:val="26"/>
          <w:lang w:val="en-US"/>
        </w:rPr>
        <w:t xml:space="preserve"> </w:t>
      </w:r>
      <w:r>
        <w:rPr>
          <w:rFonts w:ascii="Times New Roman" w:hAnsi="Times New Roman" w:eastAsia="Calibri" w:cs="Times New Roman"/>
          <w:sz w:val="26"/>
          <w:szCs w:val="26"/>
        </w:rPr>
        <w:t xml:space="preserve">Иная информация о целях предлагаемого правового регулирования: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Отсутствует</w:t>
      </w:r>
      <w:r/>
    </w:p>
    <w:p>
      <w:pPr>
        <w:contextualSpacing/>
        <w:ind w:left="709"/>
        <w:spacing w:after="0" w:line="240" w:lineRule="auto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4. Описание предлагаемого правового регулирования: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4.1. Описание предлагаемого способа решения проблемы и преодоления связанных с ней негативных эффектов: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Проектом нормативного правового акта вносятся изменения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bookmarkStart w:id="6" w:name="_Hlk158367312"/>
      <w:r>
        <w:rPr>
          <w:rFonts w:ascii="Times New Roman" w:hAnsi="Times New Roman" w:cs="Times New Roman"/>
          <w:sz w:val="26"/>
          <w:szCs w:val="26"/>
        </w:rPr>
        <w:t xml:space="preserve">порядок предоставления грантов на поддержку сельскохозяйственных потребительских кооперативов для развития материально-технической базы </w:t>
      </w:r>
      <w:r>
        <w:rPr>
          <w:rFonts w:ascii="Times New Roman" w:hAnsi="Times New Roman" w:cs="Times New Roman"/>
          <w:sz w:val="26"/>
          <w:szCs w:val="26"/>
        </w:rPr>
        <w:t xml:space="preserve">в части: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Изменения порядка подачи заявок для участия в конкурсном отборе;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Проведения конкурса среди заявителей в государственной интегрированной информационной системе управления общественными финансами «Электронный бюджет»;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Перечень документов по предоставлению грантов </w:t>
      </w:r>
      <w:r>
        <w:rPr>
          <w:rFonts w:ascii="Times New Roman" w:hAnsi="Times New Roman" w:cs="Times New Roman"/>
          <w:sz w:val="26"/>
          <w:szCs w:val="26"/>
        </w:rPr>
        <w:t xml:space="preserve">на поддержку сельскохозяйственных потребительских кооперативов </w:t>
      </w:r>
      <w:r>
        <w:rPr>
          <w:rFonts w:ascii="Times New Roman" w:hAnsi="Times New Roman" w:cs="Times New Roman"/>
          <w:sz w:val="26"/>
          <w:szCs w:val="26"/>
        </w:rPr>
        <w:t xml:space="preserve">скорректирован и дополнен следующими документами: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конкретизированы формы финансово-экономическом состоянии товаропроизводителей агропромышленного комплекса за предыдущий финансовый год (форма 6-АПК,</w:t>
      </w:r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форма 1-спр, копия налоговой декларации);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добавлено предоставление копий форм федерального государственного статистического наблюдения </w:t>
      </w:r>
      <w:r>
        <w:rPr>
          <w:rFonts w:ascii="Times New Roman" w:hAnsi="Times New Roman" w:cs="Times New Roman"/>
          <w:sz w:val="26"/>
          <w:szCs w:val="26"/>
        </w:rPr>
        <w:t xml:space="preserve">за предыдущий финансовый год</w:t>
      </w:r>
      <w:r>
        <w:rPr>
          <w:rFonts w:ascii="Times New Roman" w:hAnsi="Times New Roman" w:cs="Times New Roman"/>
          <w:sz w:val="26"/>
          <w:szCs w:val="26"/>
        </w:rPr>
        <w:t xml:space="preserve"> принятых территориальным органом Росстата (в зависимости от вида деятельности кооператива форма № 1 кооператив, форма № 2 кооператив, форма № 4 кооператив);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  <w:t xml:space="preserve">- добавлено предоставление обязательства заявителя о 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  <w:t xml:space="preserve">том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  <w:t xml:space="preserve"> что в случае победы в конкурсе заявителю необходимо сохранить на расчетном счете денежные средства в размере, достаточном для подтверждения возможности собственного 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  <w:t xml:space="preserve">софинансирования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  <w:t xml:space="preserve"> реализации мероприятий проекта (бизнес-плана) до момента заключения с ним соглашения о предоставлении средств гранта;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  <w:t xml:space="preserve">- подписанными усиленной квалифицированной эл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  <w:t xml:space="preserve">ектронной подписью Заявителя копия сертификата, подтверждающего соответствие производства органической продукции, выданного аккредитованным в области производства органической продукции органом сертификации (в случае, если Заявитель претендует на получение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  <w:t xml:space="preserve"> дополнительных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  <w:t xml:space="preserve"> баллов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  <w:t xml:space="preserve">);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4)Перечень требований, предъявляемых к Заявителю дополнен и скорректирован следующими пунктами: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заявитель осуществляет вид экономической деятельности (имеет ОКВЭД), соответствующий заявленному направлению деятельности в соответствии с п</w:t>
      </w:r>
      <w:r>
        <w:rPr>
          <w:rFonts w:ascii="Times New Roman" w:hAnsi="Times New Roman" w:cs="Times New Roman"/>
          <w:sz w:val="26"/>
          <w:szCs w:val="26"/>
        </w:rPr>
        <w:t xml:space="preserve">роектом (бизнес-планом) и относящийся к разделу А «Сельское, лесное хозяйство, охота, рыболовство и рыбоводство» или классу 10 раздела С «Обрабатывающие производства» Общероссийского классификатора видов экономической деятельности ОК 029-2014 (КДЕС Ред. 2)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bookmarkEnd w:id="6"/>
      <w:r>
        <w:rPr>
          <w:rFonts w:ascii="Times New Roman" w:hAnsi="Times New Roman" w:cs="Times New Roman"/>
          <w:sz w:val="26"/>
          <w:szCs w:val="26"/>
        </w:rPr>
        <w:t xml:space="preserve">- заявитель не должен находи</w:t>
      </w:r>
      <w:r>
        <w:rPr>
          <w:rFonts w:ascii="Times New Roman" w:hAnsi="Times New Roman" w:cs="Times New Roman"/>
          <w:sz w:val="26"/>
          <w:szCs w:val="26"/>
        </w:rPr>
        <w:t xml:space="preserve">ться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</w:t>
      </w:r>
      <w:r>
        <w:rPr>
          <w:rFonts w:ascii="Times New Roman" w:hAnsi="Times New Roman" w:cs="Times New Roman"/>
          <w:sz w:val="26"/>
          <w:szCs w:val="26"/>
        </w:rPr>
        <w:t xml:space="preserve">организациями и террористами или с распространением оружия массового уничтожения;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</w:t>
      </w:r>
      <w:r>
        <w:rPr>
          <w:rFonts w:ascii="Times New Roman" w:hAnsi="Times New Roman" w:cs="Times New Roman"/>
          <w:sz w:val="26"/>
          <w:szCs w:val="26"/>
        </w:rPr>
        <w:t xml:space="preserve">) Также проектом утверждается порядок </w:t>
      </w:r>
      <w:r>
        <w:rPr>
          <w:rFonts w:ascii="Times New Roman" w:hAnsi="Times New Roman" w:cs="Times New Roman"/>
          <w:sz w:val="26"/>
          <w:szCs w:val="26"/>
        </w:rPr>
        <w:t xml:space="preserve">предоставления грантов 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поддержку начинающих сельскохозяйственных потребительских кооперативов для развития материально-технической базы</w:t>
      </w:r>
      <w:r>
        <w:rPr>
          <w:rFonts w:ascii="Times New Roman" w:hAnsi="Times New Roman" w:cs="Times New Roman"/>
          <w:sz w:val="26"/>
          <w:szCs w:val="26"/>
        </w:rPr>
        <w:t xml:space="preserve">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4.2. Альтернативные варианты решения проблемы: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развитие материально-технической базы сельскохозяйственных потребительских кооперативов, а также начинающих кооперативов за счёт собственных или заёмных (кредитных) средств</w:t>
      </w:r>
      <w:r>
        <w:rPr>
          <w:rFonts w:ascii="Times New Roman" w:hAnsi="Times New Roman" w:eastAsia="Calibri" w:cs="Times New Roman"/>
          <w:sz w:val="26"/>
          <w:szCs w:val="26"/>
        </w:rPr>
        <w:t xml:space="preserve">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Так</w:t>
      </w:r>
      <w:r>
        <w:rPr>
          <w:rFonts w:ascii="Times New Roman" w:hAnsi="Times New Roman" w:eastAsia="Calibri" w:cs="Times New Roman"/>
          <w:sz w:val="26"/>
          <w:szCs w:val="26"/>
        </w:rPr>
        <w:t xml:space="preserve">,</w:t>
      </w:r>
      <w:r>
        <w:rPr>
          <w:rFonts w:ascii="Times New Roman" w:hAnsi="Times New Roman" w:eastAsia="Calibri" w:cs="Times New Roman"/>
          <w:sz w:val="26"/>
          <w:szCs w:val="26"/>
        </w:rPr>
        <w:t xml:space="preserve"> </w:t>
      </w:r>
      <w:r>
        <w:rPr>
          <w:rFonts w:ascii="Times New Roman" w:hAnsi="Times New Roman" w:eastAsia="Calibri" w:cs="Times New Roman"/>
          <w:sz w:val="26"/>
          <w:szCs w:val="26"/>
        </w:rPr>
        <w:t xml:space="preserve">например, при минимальном размере гранта в сумме 5 млн. руб. в случае п</w:t>
      </w:r>
      <w:r>
        <w:rPr>
          <w:rFonts w:ascii="Times New Roman" w:hAnsi="Times New Roman" w:eastAsia="Calibri" w:cs="Times New Roman"/>
          <w:sz w:val="26"/>
          <w:szCs w:val="26"/>
        </w:rPr>
        <w:t xml:space="preserve">ривлечения заемных средств </w:t>
      </w:r>
      <w:r>
        <w:rPr>
          <w:rFonts w:ascii="Times New Roman" w:hAnsi="Times New Roman" w:eastAsia="Calibri" w:cs="Times New Roman"/>
          <w:sz w:val="26"/>
          <w:szCs w:val="26"/>
        </w:rPr>
        <w:t xml:space="preserve">в </w:t>
      </w:r>
      <w:r>
        <w:rPr>
          <w:rFonts w:ascii="Times New Roman" w:hAnsi="Times New Roman" w:eastAsia="Calibri" w:cs="Times New Roman"/>
          <w:sz w:val="26"/>
          <w:szCs w:val="26"/>
        </w:rPr>
        <w:t xml:space="preserve">вышеуказанной сумме (</w:t>
      </w:r>
      <w:r>
        <w:rPr>
          <w:rFonts w:ascii="Times New Roman" w:hAnsi="Times New Roman" w:eastAsia="Calibri" w:cs="Times New Roman"/>
          <w:sz w:val="26"/>
          <w:szCs w:val="26"/>
        </w:rPr>
        <w:t xml:space="preserve">под процентную ставку в размере 5%</w:t>
      </w:r>
      <w:r>
        <w:rPr>
          <w:rFonts w:ascii="Times New Roman" w:hAnsi="Times New Roman" w:eastAsia="Calibri" w:cs="Times New Roman"/>
          <w:sz w:val="26"/>
          <w:szCs w:val="26"/>
        </w:rPr>
        <w:t xml:space="preserve"> (в сфере АПК)</w:t>
      </w:r>
      <w:r>
        <w:rPr>
          <w:rFonts w:ascii="Times New Roman" w:hAnsi="Times New Roman" w:eastAsia="Calibri" w:cs="Times New Roman"/>
          <w:sz w:val="26"/>
          <w:szCs w:val="26"/>
        </w:rPr>
        <w:t xml:space="preserve"> на 24 месяц</w:t>
      </w:r>
      <w:r>
        <w:rPr>
          <w:rFonts w:ascii="Times New Roman" w:hAnsi="Times New Roman" w:eastAsia="Calibri" w:cs="Times New Roman"/>
          <w:sz w:val="26"/>
          <w:szCs w:val="26"/>
        </w:rPr>
        <w:t xml:space="preserve">а</w:t>
      </w:r>
      <w:r>
        <w:rPr>
          <w:rFonts w:ascii="Times New Roman" w:hAnsi="Times New Roman" w:eastAsia="Calibri" w:cs="Times New Roman"/>
          <w:sz w:val="26"/>
          <w:szCs w:val="26"/>
        </w:rPr>
        <w:t xml:space="preserve"> (срок освоения гранта)</w:t>
      </w:r>
      <w:r>
        <w:rPr>
          <w:rFonts w:ascii="Times New Roman" w:hAnsi="Times New Roman" w:eastAsia="Calibri" w:cs="Times New Roman"/>
          <w:sz w:val="26"/>
          <w:szCs w:val="26"/>
        </w:rPr>
        <w:t xml:space="preserve">)</w:t>
      </w:r>
      <w:r>
        <w:rPr>
          <w:rFonts w:ascii="Times New Roman" w:hAnsi="Times New Roman" w:eastAsia="Calibri" w:cs="Times New Roman"/>
          <w:sz w:val="26"/>
          <w:szCs w:val="26"/>
        </w:rPr>
        <w:t xml:space="preserve"> </w:t>
      </w:r>
      <w:r>
        <w:rPr>
          <w:rFonts w:ascii="Times New Roman" w:hAnsi="Times New Roman" w:eastAsia="Calibri" w:cs="Times New Roman"/>
          <w:sz w:val="26"/>
          <w:szCs w:val="26"/>
        </w:rPr>
        <w:t xml:space="preserve">переплата</w:t>
      </w:r>
      <w:r>
        <w:rPr>
          <w:rFonts w:ascii="Times New Roman" w:hAnsi="Times New Roman" w:eastAsia="Calibri" w:cs="Times New Roman"/>
          <w:sz w:val="26"/>
          <w:szCs w:val="26"/>
        </w:rPr>
        <w:t xml:space="preserve"> кооператива составит</w:t>
      </w:r>
      <w:r>
        <w:rPr>
          <w:rFonts w:ascii="Times New Roman" w:hAnsi="Times New Roman" w:eastAsia="Calibri" w:cs="Times New Roman"/>
          <w:sz w:val="26"/>
          <w:szCs w:val="26"/>
        </w:rPr>
        <w:t xml:space="preserve"> </w:t>
      </w:r>
      <w:r>
        <w:rPr>
          <w:rFonts w:ascii="Times New Roman" w:hAnsi="Times New Roman" w:eastAsia="Calibri" w:cs="Times New Roman"/>
          <w:sz w:val="26"/>
          <w:szCs w:val="26"/>
        </w:rPr>
        <w:t xml:space="preserve">262</w:t>
      </w:r>
      <w:r>
        <w:rPr>
          <w:rFonts w:ascii="Times New Roman" w:hAnsi="Times New Roman" w:eastAsia="Calibri" w:cs="Times New Roman"/>
          <w:sz w:val="26"/>
          <w:szCs w:val="26"/>
        </w:rPr>
        <w:t xml:space="preserve">,</w:t>
      </w:r>
      <w:r>
        <w:rPr>
          <w:rFonts w:ascii="Times New Roman" w:hAnsi="Times New Roman" w:eastAsia="Calibri" w:cs="Times New Roman"/>
          <w:sz w:val="26"/>
          <w:szCs w:val="26"/>
        </w:rPr>
        <w:t xml:space="preserve"> </w:t>
      </w:r>
      <w:r>
        <w:rPr>
          <w:rFonts w:ascii="Times New Roman" w:hAnsi="Times New Roman" w:eastAsia="Calibri" w:cs="Times New Roman"/>
          <w:sz w:val="26"/>
          <w:szCs w:val="26"/>
        </w:rPr>
        <w:t xml:space="preserve">5 </w:t>
      </w:r>
      <w:r>
        <w:rPr>
          <w:rFonts w:ascii="Times New Roman" w:hAnsi="Times New Roman" w:eastAsia="Calibri" w:cs="Times New Roman"/>
          <w:sz w:val="26"/>
          <w:szCs w:val="26"/>
        </w:rPr>
        <w:t xml:space="preserve">тыс. руб</w:t>
      </w:r>
      <w:r>
        <w:rPr>
          <w:rFonts w:ascii="Times New Roman" w:hAnsi="Times New Roman" w:eastAsia="Calibri" w:cs="Times New Roman"/>
          <w:sz w:val="26"/>
          <w:szCs w:val="26"/>
        </w:rPr>
        <w:t xml:space="preserve">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При среднем размере гранта </w:t>
      </w:r>
      <w:r>
        <w:rPr>
          <w:rFonts w:ascii="Times New Roman" w:hAnsi="Times New Roman" w:eastAsia="Calibri" w:cs="Times New Roman"/>
          <w:sz w:val="26"/>
          <w:szCs w:val="26"/>
        </w:rPr>
        <w:t xml:space="preserve">в сумме </w:t>
      </w:r>
      <w:r>
        <w:rPr>
          <w:rFonts w:ascii="Times New Roman" w:hAnsi="Times New Roman" w:eastAsia="Calibri" w:cs="Times New Roman"/>
          <w:sz w:val="26"/>
          <w:szCs w:val="26"/>
        </w:rPr>
        <w:t xml:space="preserve">14,6 </w:t>
      </w:r>
      <w:r>
        <w:rPr>
          <w:rFonts w:ascii="Times New Roman" w:hAnsi="Times New Roman" w:eastAsia="Calibri" w:cs="Times New Roman"/>
          <w:sz w:val="26"/>
          <w:szCs w:val="26"/>
        </w:rPr>
        <w:t xml:space="preserve">млн. руб. в случае привлечения заемных средств в вышеуказанной сумме (под процентную ставку в размере 5%</w:t>
      </w:r>
      <w:r>
        <w:rPr>
          <w:rFonts w:ascii="Times New Roman" w:hAnsi="Times New Roman" w:eastAsia="Calibri" w:cs="Times New Roman"/>
          <w:sz w:val="26"/>
          <w:szCs w:val="26"/>
        </w:rPr>
        <w:t xml:space="preserve">                         </w:t>
      </w:r>
      <w:r>
        <w:rPr>
          <w:rFonts w:ascii="Times New Roman" w:hAnsi="Times New Roman" w:eastAsia="Calibri" w:cs="Times New Roman"/>
          <w:sz w:val="26"/>
          <w:szCs w:val="26"/>
        </w:rPr>
        <w:t xml:space="preserve">   </w:t>
      </w:r>
      <w:r>
        <w:rPr>
          <w:rFonts w:ascii="Times New Roman" w:hAnsi="Times New Roman" w:eastAsia="Calibri" w:cs="Times New Roman"/>
          <w:sz w:val="26"/>
          <w:szCs w:val="26"/>
        </w:rPr>
        <w:t xml:space="preserve">(</w:t>
      </w:r>
      <w:r>
        <w:rPr>
          <w:rFonts w:ascii="Times New Roman" w:hAnsi="Times New Roman" w:eastAsia="Calibri" w:cs="Times New Roman"/>
          <w:sz w:val="26"/>
          <w:szCs w:val="26"/>
        </w:rPr>
        <w:t xml:space="preserve">в сфере АПК) </w:t>
      </w:r>
      <w:r>
        <w:rPr>
          <w:rFonts w:ascii="Times New Roman" w:hAnsi="Times New Roman" w:eastAsia="Calibri" w:cs="Times New Roman"/>
          <w:sz w:val="26"/>
          <w:szCs w:val="26"/>
        </w:rPr>
        <w:t xml:space="preserve"> на 24 месяца</w:t>
      </w:r>
      <w:r>
        <w:rPr>
          <w:rFonts w:ascii="Times New Roman" w:hAnsi="Times New Roman" w:eastAsia="Calibri" w:cs="Times New Roman"/>
          <w:sz w:val="26"/>
          <w:szCs w:val="26"/>
        </w:rPr>
        <w:t xml:space="preserve">(срок освоения гранта)</w:t>
      </w:r>
      <w:r>
        <w:rPr>
          <w:rFonts w:ascii="Times New Roman" w:hAnsi="Times New Roman" w:eastAsia="Calibri" w:cs="Times New Roman"/>
          <w:sz w:val="26"/>
          <w:szCs w:val="26"/>
        </w:rPr>
        <w:t xml:space="preserve">) переплата кооператива составит </w:t>
      </w:r>
      <w:r>
        <w:rPr>
          <w:rFonts w:ascii="Times New Roman" w:hAnsi="Times New Roman" w:eastAsia="Calibri" w:cs="Times New Roman"/>
          <w:sz w:val="26"/>
          <w:szCs w:val="26"/>
        </w:rPr>
        <w:t xml:space="preserve">766</w:t>
      </w:r>
      <w:r>
        <w:rPr>
          <w:rFonts w:ascii="Times New Roman" w:hAnsi="Times New Roman" w:eastAsia="Calibri" w:cs="Times New Roman"/>
          <w:sz w:val="26"/>
          <w:szCs w:val="26"/>
        </w:rPr>
        <w:t xml:space="preserve">,</w:t>
      </w:r>
      <w:r>
        <w:rPr>
          <w:rFonts w:ascii="Times New Roman" w:hAnsi="Times New Roman" w:eastAsia="Calibri" w:cs="Times New Roman"/>
          <w:sz w:val="26"/>
          <w:szCs w:val="26"/>
        </w:rPr>
        <w:t xml:space="preserve"> </w:t>
      </w:r>
      <w:r>
        <w:rPr>
          <w:rFonts w:ascii="Times New Roman" w:hAnsi="Times New Roman" w:eastAsia="Calibri" w:cs="Times New Roman"/>
          <w:sz w:val="26"/>
          <w:szCs w:val="26"/>
        </w:rPr>
        <w:t xml:space="preserve">5 </w:t>
      </w:r>
      <w:r>
        <w:rPr>
          <w:rFonts w:ascii="Times New Roman" w:hAnsi="Times New Roman" w:eastAsia="Calibri" w:cs="Times New Roman"/>
          <w:sz w:val="26"/>
          <w:szCs w:val="26"/>
        </w:rPr>
        <w:t xml:space="preserve">тыс. руб.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Таким образом получение грантовой поддержки для </w:t>
      </w:r>
      <w:r>
        <w:rPr>
          <w:rFonts w:ascii="Times New Roman" w:hAnsi="Times New Roman" w:eastAsia="Calibri" w:cs="Times New Roman"/>
          <w:sz w:val="26"/>
          <w:szCs w:val="26"/>
        </w:rPr>
        <w:t xml:space="preserve">сельскохозяйственных потребительских кооперативов</w:t>
      </w:r>
      <w:r>
        <w:rPr>
          <w:rFonts w:ascii="Times New Roman" w:hAnsi="Times New Roman" w:eastAsia="Calibri" w:cs="Times New Roman"/>
          <w:sz w:val="26"/>
          <w:szCs w:val="26"/>
        </w:rPr>
        <w:t xml:space="preserve"> является финансово более выгодным, чем привлечение заемных ресурсов.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4.3. Обоснование выбора предлагаемого способа решения проблемы: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Предпочтительным вариантом решения проблемы считаем принятие постан</w:t>
      </w:r>
      <w:r>
        <w:rPr>
          <w:rFonts w:ascii="Times New Roman" w:hAnsi="Times New Roman" w:eastAsia="Calibri" w:cs="Times New Roman"/>
          <w:sz w:val="26"/>
          <w:szCs w:val="26"/>
        </w:rPr>
        <w:t xml:space="preserve">овления Правительства Белгородской области, вносящего изменения в порядок предоставления грантов на поддержку сельскохозяйственных потребительских кооперативов для развития материально-технической базы, а также утверждающего новую меру поддержки начинающих</w:t>
      </w:r>
      <w:r>
        <w:t xml:space="preserve"> </w:t>
      </w:r>
      <w:r>
        <w:rPr>
          <w:rFonts w:ascii="Times New Roman" w:hAnsi="Times New Roman" w:eastAsia="Calibri" w:cs="Times New Roman"/>
          <w:sz w:val="26"/>
          <w:szCs w:val="26"/>
        </w:rPr>
        <w:t xml:space="preserve">сельскохозяйственных потребительских кооперативов.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Проект постановления позволит создать оптимальные условия грантополучателям для эффективного освоения предоставленной государственной поддержки.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Данное нормативное правовое регу</w:t>
      </w:r>
      <w:r>
        <w:rPr>
          <w:rFonts w:ascii="Times New Roman" w:hAnsi="Times New Roman" w:eastAsia="Calibri" w:cs="Times New Roman"/>
          <w:sz w:val="26"/>
          <w:szCs w:val="26"/>
        </w:rPr>
        <w:t xml:space="preserve">лирование позволит снизить финансовую нагрузку на хозяйствующие субъекты, будет способствовать повышению заинтересованности сельскохозяйственных потребительских кооперативов в создании и развитии производства в сельской местности Белгородской области, созданию новых постоянных рабочих мест в агропромышленном комплексе.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Cs/>
          <w:sz w:val="26"/>
          <w:szCs w:val="26"/>
        </w:rPr>
      </w:pPr>
      <w:r>
        <w:rPr>
          <w:rFonts w:ascii="Times New Roman" w:hAnsi="Times New Roman" w:eastAsia="Calibri" w:cs="Times New Roman"/>
          <w:bCs/>
          <w:sz w:val="26"/>
          <w:szCs w:val="26"/>
        </w:rPr>
        <w:t xml:space="preserve">4.4.</w:t>
      </w:r>
      <w:r>
        <w:rPr>
          <w:rFonts w:ascii="Times New Roman" w:hAnsi="Times New Roman" w:eastAsia="Calibri" w:cs="Times New Roman"/>
          <w:sz w:val="26"/>
          <w:szCs w:val="26"/>
          <w:lang w:eastAsia="ru-RU"/>
        </w:rPr>
        <w:t xml:space="preserve"> </w:t>
      </w:r>
      <w:r>
        <w:rPr>
          <w:rFonts w:ascii="Times New Roman" w:hAnsi="Times New Roman" w:eastAsia="Calibri" w:cs="Times New Roman"/>
          <w:bCs/>
          <w:sz w:val="26"/>
          <w:szCs w:val="26"/>
        </w:rPr>
        <w:t xml:space="preserve">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регулированием. Оценка их количественного состава: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</w:r>
      <w:r/>
    </w:p>
    <w:tbl>
      <w:tblPr>
        <w:tblpPr w:horzAnchor="margin" w:tblpXSpec="left" w:vertAnchor="text" w:tblpY="50" w:leftFromText="180" w:topFromText="0" w:rightFromText="180" w:bottomFromText="0"/>
        <w:tblW w:w="96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5"/>
        <w:gridCol w:w="4002"/>
      </w:tblGrid>
      <w:tr>
        <w:trPr>
          <w:cantSplit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65" w:type="dxa"/>
            <w:textDirection w:val="lrTb"/>
            <w:noWrap w:val="false"/>
          </w:tcPr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Группа участников отношений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0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Оценка количества участников отношений</w:t>
            </w:r>
            <w:r/>
          </w:p>
        </w:tc>
      </w:tr>
      <w:tr>
        <w:trPr>
          <w:cantSplit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65" w:type="dxa"/>
            <w:textDirection w:val="lrTb"/>
            <w:noWrap w:val="false"/>
          </w:tcPr>
          <w:p>
            <w:pPr>
              <w:ind w:right="57"/>
              <w:jc w:val="both"/>
              <w:spacing w:after="0" w:line="240" w:lineRule="auto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 xml:space="preserve">Сельскохозяйственные потребительские </w:t>
            </w: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 xml:space="preserve">кооперативы  </w:t>
            </w: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 xml:space="preserve">зарегистрированные</w:t>
            </w: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 xml:space="preserve"> на сельской территории или на территории сельской агломерации и претендующие на получение гранта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02" w:type="dxa"/>
            <w:vAlign w:val="center"/>
            <w:textDirection w:val="lrTb"/>
            <w:noWrap w:val="false"/>
          </w:tcPr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 xml:space="preserve">189</w:t>
            </w: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 xml:space="preserve"> ед.</w:t>
            </w: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 xml:space="preserve"> </w:t>
            </w:r>
            <w:r/>
          </w:p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 xml:space="preserve">(количество сельскохозяйственных потребительских кооперативов)</w:t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Cs/>
          <w:sz w:val="26"/>
          <w:szCs w:val="26"/>
        </w:rPr>
      </w:pPr>
      <w:r>
        <w:rPr>
          <w:rFonts w:ascii="Times New Roman" w:hAnsi="Times New Roman" w:eastAsia="Calibri" w:cs="Times New Roman"/>
          <w:bCs/>
          <w:sz w:val="26"/>
          <w:szCs w:val="26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Cs/>
          <w:sz w:val="26"/>
          <w:szCs w:val="26"/>
        </w:rPr>
      </w:pPr>
      <w:r>
        <w:rPr>
          <w:rFonts w:ascii="Times New Roman" w:hAnsi="Times New Roman" w:eastAsia="Calibri" w:cs="Times New Roman"/>
          <w:bCs/>
          <w:sz w:val="26"/>
          <w:szCs w:val="26"/>
        </w:rPr>
        <w:t xml:space="preserve">4.5. Оценка изменений обязательных требований, обязанностей, ограничений </w:t>
      </w:r>
      <w:r>
        <w:rPr>
          <w:rFonts w:ascii="Times New Roman" w:hAnsi="Times New Roman" w:eastAsia="Calibri" w:cs="Times New Roman"/>
          <w:bCs/>
          <w:sz w:val="26"/>
          <w:szCs w:val="26"/>
        </w:rPr>
        <w:br/>
        <w:t xml:space="preserve">и преимуществ, ответственности за нарушение нормативных правовых актов Белгородской области, расходов и доходов, а также ожидаемых издержек и выгод </w:t>
      </w:r>
      <w:r>
        <w:rPr>
          <w:rFonts w:ascii="Times New Roman" w:hAnsi="Times New Roman" w:eastAsia="Calibri" w:cs="Times New Roman"/>
          <w:bCs/>
          <w:sz w:val="26"/>
          <w:szCs w:val="26"/>
        </w:rPr>
        <w:br/>
        <w:t xml:space="preserve">для субъектов предпринимательской и иной экономической деятельности, интересы которых затрагиваются вводимым правовым регулированием: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Cs/>
          <w:sz w:val="26"/>
          <w:szCs w:val="26"/>
        </w:rPr>
      </w:pPr>
      <w:r>
        <w:rPr>
          <w:rFonts w:ascii="Times New Roman" w:hAnsi="Times New Roman" w:eastAsia="Calibri" w:cs="Times New Roman"/>
          <w:bCs/>
          <w:sz w:val="26"/>
          <w:szCs w:val="26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Cs/>
          <w:sz w:val="26"/>
          <w:szCs w:val="26"/>
        </w:rPr>
      </w:pPr>
      <w:r>
        <w:rPr>
          <w:rFonts w:ascii="Times New Roman" w:hAnsi="Times New Roman" w:eastAsia="Calibri" w:cs="Times New Roman"/>
          <w:bCs/>
          <w:sz w:val="26"/>
          <w:szCs w:val="26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Cs/>
          <w:sz w:val="26"/>
          <w:szCs w:val="26"/>
        </w:rPr>
      </w:pPr>
      <w:r>
        <w:rPr>
          <w:rFonts w:ascii="Times New Roman" w:hAnsi="Times New Roman" w:eastAsia="Calibri" w:cs="Times New Roman"/>
          <w:bCs/>
          <w:sz w:val="26"/>
          <w:szCs w:val="26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Cs/>
          <w:sz w:val="26"/>
          <w:szCs w:val="26"/>
        </w:rPr>
      </w:pPr>
      <w:r>
        <w:rPr>
          <w:rFonts w:ascii="Times New Roman" w:hAnsi="Times New Roman" w:eastAsia="Calibri" w:cs="Times New Roman"/>
          <w:bCs/>
          <w:sz w:val="26"/>
          <w:szCs w:val="26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</w:r>
      <w:r/>
    </w:p>
    <w:tbl>
      <w:tblPr>
        <w:tblpPr w:horzAnchor="margin" w:tblpXSpec="left" w:vertAnchor="text" w:tblpY="69" w:leftFromText="180" w:topFromText="0" w:rightFromText="180" w:bottomFromText="0"/>
        <w:tblW w:w="96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89"/>
        <w:gridCol w:w="3689"/>
        <w:gridCol w:w="3289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89" w:type="dxa"/>
            <w:textDirection w:val="lrTb"/>
            <w:noWrap w:val="false"/>
          </w:tcPr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Группа участников отношений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89" w:type="dxa"/>
            <w:textDirection w:val="lrTb"/>
            <w:noWrap w:val="false"/>
          </w:tcPr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Описание новых или изменения содержания существующих обязательных требований, обязанностей, ограничений, преимуществ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89" w:type="dxa"/>
            <w:textDirection w:val="lrTb"/>
            <w:noWrap w:val="false"/>
          </w:tcPr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Оценка изменения расходов/доходов,</w:t>
            </w:r>
            <w:r/>
          </w:p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издержек/выгод,</w:t>
            </w:r>
            <w:r/>
          </w:p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тыс. руб.</w:t>
            </w:r>
            <w:r/>
          </w:p>
        </w:tc>
      </w:tr>
      <w:tr>
        <w:trPr>
          <w:cantSplit/>
        </w:trPr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68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i/>
                <w:iCs/>
                <w:sz w:val="20"/>
                <w:szCs w:val="20"/>
              </w:rPr>
              <w:t xml:space="preserve">Сельскохозяйственные потребительские кооперативы  действующие не менее 12 месяцев</w:t>
            </w: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 xml:space="preserve"> со дня их регистрации, а также начинающие </w:t>
            </w:r>
            <w:r>
              <w:rPr>
                <w:rFonts w:ascii="Times New Roman" w:hAnsi="Times New Roman" w:eastAsia="Calibri" w:cs="Times New Roman"/>
                <w:b/>
                <w:i/>
                <w:iCs/>
                <w:sz w:val="20"/>
                <w:szCs w:val="20"/>
              </w:rPr>
              <w:t xml:space="preserve">сельскохозяйственные потребительские кооперативы  действующие менее 12 месяцев</w:t>
            </w:r>
            <w:r>
              <w:rPr>
                <w:rFonts w:ascii="Times New Roman" w:hAnsi="Times New Roman" w:eastAsia="Calibri" w:cs="Times New Roman"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 xml:space="preserve">со дня их регистрации,  зарегистрированные на сельской территории или на территории сельской агломерации и претендующие на получение гранта не менее 2 ед.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89" w:type="dxa"/>
            <w:textDirection w:val="lrTb"/>
            <w:noWrap w:val="false"/>
          </w:tcPr>
          <w:p>
            <w:pPr>
              <w:pStyle w:val="827"/>
              <w:spacing w:before="0" w:beforeAutospacing="0" w:after="0" w:afterAutospacing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Преимущества:</w:t>
            </w:r>
            <w:r/>
          </w:p>
          <w:p>
            <w:pPr>
              <w:pStyle w:val="827"/>
              <w:spacing w:before="0" w:beforeAutospacing="0" w:after="0" w:afterAutospacing="0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упроще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ния процедуры проведение конкурсного отбора по предоставлению грантов на развития материально-технической базы кооперативов (без очного присутствия в Министерстве при предоставлении заявочной документации, электронное предоставление заявочной документации)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;</w:t>
            </w:r>
            <w:r/>
          </w:p>
          <w:p>
            <w:pPr>
              <w:pStyle w:val="827"/>
              <w:spacing w:before="0" w:beforeAutospacing="0" w:after="0" w:afterAutospacing="0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14"/>
                <w:szCs w:val="14"/>
                <w:lang w:eastAsia="en-US"/>
              </w:rPr>
              <w:t xml:space="preserve">-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eastAsiaTheme="minorHAnsi" w:cstheme="minorBidi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18"/>
                <w:szCs w:val="18"/>
              </w:rPr>
              <w:t xml:space="preserve">р</w:t>
            </w:r>
            <w:r>
              <w:rPr>
                <w:sz w:val="18"/>
                <w:szCs w:val="18"/>
              </w:rPr>
              <w:t xml:space="preserve">асширяется перечень видов поддержки для сельскохозяйственных потребительских кооперативов</w:t>
            </w:r>
            <w:r>
              <w:rPr>
                <w:sz w:val="18"/>
                <w:szCs w:val="18"/>
              </w:rPr>
              <w:t xml:space="preserve">,</w:t>
            </w:r>
            <w:r>
              <w:rPr>
                <w:sz w:val="18"/>
                <w:szCs w:val="18"/>
              </w:rPr>
              <w:t xml:space="preserve"> осуществляющих деятельность менее 12 месяцев со дня регистрации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;</w:t>
            </w:r>
            <w:r/>
          </w:p>
          <w:p>
            <w:pPr>
              <w:pStyle w:val="827"/>
              <w:spacing w:before="0" w:beforeAutospacing="0" w:after="0" w:afterAutospacing="0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- не предоставление заявителем д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окументов и информации в целях подтверждения соответствия заявителя требованиям при наличии соответствующей информации в государственных информационных системах, доступ к которым у Министерства имеется в рамках межведомственного электронного взаимодействия</w:t>
            </w:r>
            <w:r/>
          </w:p>
          <w:p>
            <w:pPr>
              <w:pStyle w:val="827"/>
              <w:spacing w:before="0" w:beforeAutospacing="0" w:after="0" w:afterAutospacing="0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328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highlight w:val="none"/>
                <w:shd w:val="clear" w:color="auto" w:fill="ffffff"/>
              </w:rPr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highlight w:val="none"/>
                <w:shd w:val="clear" w:color="auto" w:fill="ffffff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/>
                <w:b/>
                <w:bCs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Утверждение нового порядка подачи документов (в электронном виде) позволит сократить затраты заявителей на 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 xml:space="preserve">129,5 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 xml:space="preserve">тыс. руб.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  <w:br/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(3 чел./часа*228,47 руб.*189 ед). </w:t>
            </w:r>
            <w:r>
              <w:rPr>
                <w:rFonts w:ascii="Times New Roman" w:hAnsi="Times New Roman" w:eastAsia="Times New Roman"/>
                <w:b/>
                <w:bCs/>
                <w:sz w:val="20"/>
                <w:szCs w:val="20"/>
                <w:lang w:eastAsia="ru-RU"/>
              </w:rPr>
            </w:r>
            <w:r>
              <w:rPr>
                <w:sz w:val="20"/>
                <w:szCs w:val="20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0"/>
                <w:szCs w:val="20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/>
                <w:b/>
                <w:sz w:val="20"/>
                <w:szCs w:val="20"/>
                <w:highlight w:val="none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0"/>
                <w:szCs w:val="20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/>
                <w:b/>
                <w:sz w:val="20"/>
                <w:szCs w:val="20"/>
                <w:highlight w:val="none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0"/>
                <w:szCs w:val="20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/>
                <w:b/>
                <w:sz w:val="20"/>
                <w:szCs w:val="20"/>
                <w:highlight w:val="none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0"/>
                <w:szCs w:val="20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/>
                <w:b/>
                <w:sz w:val="20"/>
                <w:szCs w:val="20"/>
                <w:highlight w:val="none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0"/>
                <w:szCs w:val="20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/>
                <w:b/>
                <w:sz w:val="20"/>
                <w:szCs w:val="20"/>
                <w:highlight w:val="none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0"/>
                <w:szCs w:val="20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/>
                <w:b/>
                <w:sz w:val="20"/>
                <w:szCs w:val="20"/>
                <w:highlight w:val="none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0"/>
                <w:szCs w:val="20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/>
                <w:b/>
                <w:sz w:val="20"/>
                <w:szCs w:val="20"/>
                <w:highlight w:val="none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0"/>
                <w:szCs w:val="20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/>
                <w:b/>
                <w:sz w:val="20"/>
                <w:szCs w:val="20"/>
                <w:highlight w:val="none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0"/>
                <w:szCs w:val="20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/>
                <w:b/>
                <w:sz w:val="20"/>
                <w:szCs w:val="20"/>
                <w:highlight w:val="none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0"/>
                <w:szCs w:val="20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/>
                <w:b/>
                <w:sz w:val="20"/>
                <w:szCs w:val="20"/>
                <w:highlight w:val="none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0"/>
                <w:szCs w:val="20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/>
                <w:b/>
                <w:sz w:val="20"/>
                <w:szCs w:val="20"/>
                <w:highlight w:val="none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0"/>
                <w:szCs w:val="20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/>
                <w:b/>
                <w:sz w:val="20"/>
                <w:szCs w:val="20"/>
                <w:highlight w:val="none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0"/>
                <w:szCs w:val="20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/>
                <w:b/>
                <w:sz w:val="20"/>
                <w:szCs w:val="20"/>
                <w:highlight w:val="none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0"/>
                <w:szCs w:val="20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/>
                <w:b/>
                <w:sz w:val="20"/>
                <w:szCs w:val="20"/>
                <w:highlight w:val="none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0"/>
                <w:szCs w:val="20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/>
                <w:b/>
                <w:sz w:val="20"/>
                <w:szCs w:val="20"/>
                <w:highlight w:val="none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0"/>
                <w:szCs w:val="20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/>
                <w:b/>
                <w:sz w:val="20"/>
                <w:szCs w:val="20"/>
                <w:highlight w:val="none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0"/>
                <w:szCs w:val="20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/>
                <w:b/>
                <w:sz w:val="20"/>
                <w:szCs w:val="20"/>
                <w:highlight w:val="none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0"/>
                <w:szCs w:val="20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/>
                <w:b/>
                <w:sz w:val="20"/>
                <w:szCs w:val="20"/>
                <w:highlight w:val="none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0"/>
                <w:szCs w:val="20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/>
                <w:b/>
                <w:sz w:val="20"/>
                <w:szCs w:val="20"/>
                <w:highlight w:val="none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0"/>
                <w:szCs w:val="20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/>
                <w:b/>
                <w:sz w:val="20"/>
                <w:szCs w:val="20"/>
                <w:highlight w:val="none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0"/>
                <w:szCs w:val="20"/>
                <w:lang w:eastAsia="ru-RU"/>
              </w:rPr>
              <w:t xml:space="preserve">1. </w:t>
            </w:r>
            <w:r>
              <w:rPr>
                <w:rFonts w:ascii="Times New Roman" w:hAnsi="Times New Roman" w:eastAsia="Times New Roman"/>
                <w:b/>
                <w:sz w:val="20"/>
                <w:szCs w:val="20"/>
                <w:lang w:eastAsia="ru-RU"/>
              </w:rPr>
              <w:t xml:space="preserve">Общая стоимость требования: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0"/>
                <w:szCs w:val="20"/>
                <w:lang w:eastAsia="ru-RU"/>
              </w:rPr>
              <w:t xml:space="preserve"> 49 чел/час*228,47 </w:t>
            </w:r>
            <w:r>
              <w:rPr>
                <w:rFonts w:ascii="Times New Roman" w:hAnsi="Times New Roman" w:eastAsia="Times New Roman"/>
                <w:b/>
                <w:sz w:val="20"/>
                <w:szCs w:val="20"/>
                <w:lang w:eastAsia="ru-RU"/>
              </w:rPr>
              <w:t xml:space="preserve">руб</w:t>
            </w:r>
            <w:r>
              <w:rPr>
                <w:rFonts w:ascii="Times New Roman" w:hAnsi="Times New Roman" w:eastAsia="Times New Roman"/>
                <w:b/>
                <w:sz w:val="20"/>
                <w:szCs w:val="20"/>
                <w:lang w:eastAsia="ru-RU"/>
              </w:rPr>
              <w:t xml:space="preserve"> *189 </w:t>
            </w:r>
            <w:r>
              <w:rPr>
                <w:rFonts w:ascii="Times New Roman" w:hAnsi="Times New Roman" w:eastAsia="Times New Roman"/>
                <w:b/>
                <w:sz w:val="20"/>
                <w:szCs w:val="20"/>
                <w:lang w:eastAsia="ru-RU"/>
              </w:rPr>
              <w:t xml:space="preserve">ед</w:t>
            </w:r>
            <w:r>
              <w:rPr>
                <w:rFonts w:ascii="Times New Roman" w:hAnsi="Times New Roman" w:eastAsia="Times New Roman"/>
                <w:b/>
                <w:sz w:val="20"/>
                <w:szCs w:val="20"/>
                <w:lang w:eastAsia="ru-RU"/>
              </w:rPr>
              <w:t xml:space="preserve"> =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0"/>
                <w:szCs w:val="20"/>
                <w:lang w:eastAsia="ru-RU"/>
              </w:rPr>
              <w:t xml:space="preserve"> 2 115, 86 тыс. руб.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0"/>
                <w:szCs w:val="20"/>
                <w:lang w:eastAsia="ru-RU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highlight w:val="red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b/>
                <w:bCs/>
                <w:sz w:val="20"/>
                <w:szCs w:val="20"/>
              </w:rPr>
              <w:t xml:space="preserve">2.</w:t>
            </w:r>
            <w: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sz w:val="20"/>
                <w:szCs w:val="20"/>
              </w:rPr>
              <w:t xml:space="preserve">Общая стоимость требования: 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b/>
                <w:bCs/>
                <w:sz w:val="20"/>
                <w:szCs w:val="20"/>
              </w:rPr>
              <w:t xml:space="preserve">45 чел/час*228,47 </w:t>
            </w:r>
            <w:r>
              <w:rPr>
                <w:rFonts w:ascii="Times New Roman" w:hAnsi="Times New Roman" w:eastAsia="Times New Roman"/>
                <w:b/>
                <w:bCs/>
                <w:sz w:val="20"/>
                <w:szCs w:val="20"/>
              </w:rPr>
              <w:t xml:space="preserve">руб</w:t>
            </w:r>
            <w:r>
              <w:rPr>
                <w:rFonts w:ascii="Times New Roman" w:hAnsi="Times New Roman" w:eastAsia="Times New Roman"/>
                <w:b/>
                <w:bCs/>
                <w:sz w:val="20"/>
                <w:szCs w:val="20"/>
              </w:rPr>
              <w:t xml:space="preserve"> *189 </w:t>
            </w:r>
            <w:r>
              <w:rPr>
                <w:rFonts w:ascii="Times New Roman" w:hAnsi="Times New Roman" w:eastAsia="Times New Roman"/>
                <w:b/>
                <w:bCs/>
                <w:sz w:val="20"/>
                <w:szCs w:val="20"/>
              </w:rPr>
              <w:t xml:space="preserve">ед</w:t>
            </w:r>
            <w:r>
              <w:rPr>
                <w:rFonts w:ascii="Times New Roman" w:hAnsi="Times New Roman" w:eastAsia="Times New Roman"/>
                <w:b/>
                <w:bCs/>
                <w:sz w:val="20"/>
                <w:szCs w:val="20"/>
              </w:rPr>
              <w:t xml:space="preserve"> = 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20"/>
                <w:szCs w:val="20"/>
              </w:rPr>
              <w:t xml:space="preserve"> 1 943,14 тыс. руб.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0"/>
                <w:szCs w:val="20"/>
                <w:lang w:eastAsia="ru-RU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0"/>
                <w:szCs w:val="20"/>
                <w:lang w:eastAsia="ru-RU"/>
              </w:rPr>
              <w:t xml:space="preserve"> </w:t>
            </w:r>
            <w:r/>
          </w:p>
        </w:tc>
      </w:tr>
      <w:tr>
        <w:trPr>
          <w:cantSplit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89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89" w:type="dxa"/>
            <w:textDirection w:val="lrTb"/>
            <w:noWrap w:val="false"/>
          </w:tcPr>
          <w:p>
            <w:pPr>
              <w:pStyle w:val="827"/>
              <w:spacing w:before="0" w:beforeAutospacing="0" w:after="0" w:afterAutospacing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Обязанности:</w:t>
            </w:r>
            <w:r/>
          </w:p>
          <w:p>
            <w:pPr>
              <w:pStyle w:val="827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предоставление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необходимого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пакета документов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сельскохозяйственным потребительским кооперативом действующим не менее 12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месяцев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для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участия в конкурсном отборе на получение гранта</w:t>
            </w:r>
            <w:r/>
          </w:p>
          <w:p>
            <w:pPr>
              <w:pStyle w:val="827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  <w:r/>
          </w:p>
          <w:p>
            <w:pPr>
              <w:pStyle w:val="827"/>
              <w:spacing w:before="0" w:beforeAutospacing="0" w:after="0" w:afterAutospacing="0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предоставление необходимого пакета документов сельскохозяйственным потребительским кооперативом действующим менее 12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месяцев  для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участия в конкурсном отборе на получение гранта</w:t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89" w:type="dxa"/>
            <w:vMerge w:val="continue"/>
            <w:textDirection w:val="lrTb"/>
            <w:noWrap w:val="false"/>
          </w:tcPr>
          <w:p>
            <w:pPr>
              <w:ind w:right="57" w:firstLine="709"/>
              <w:spacing w:after="0" w:line="240" w:lineRule="auto"/>
              <w:rPr>
                <w:rFonts w:ascii="Times New Roman" w:hAnsi="Times New Roman" w:eastAsia="Calibri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iCs/>
                <w:sz w:val="28"/>
                <w:szCs w:val="28"/>
              </w:rPr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Cs/>
          <w:sz w:val="20"/>
          <w:szCs w:val="20"/>
        </w:rPr>
      </w:pPr>
      <w:r>
        <w:rPr>
          <w:rFonts w:ascii="Times New Roman" w:hAnsi="Times New Roman" w:eastAsia="Calibri" w:cs="Times New Roman"/>
          <w:bCs/>
          <w:sz w:val="20"/>
          <w:szCs w:val="20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Cs/>
          <w:sz w:val="26"/>
          <w:szCs w:val="26"/>
        </w:rPr>
      </w:pPr>
      <w:r>
        <w:rPr>
          <w:rFonts w:ascii="Times New Roman" w:hAnsi="Times New Roman" w:eastAsia="Calibri" w:cs="Times New Roman"/>
          <w:bCs/>
          <w:sz w:val="26"/>
          <w:szCs w:val="26"/>
        </w:rPr>
        <w:t xml:space="preserve">4.6. Новые функции, полномочия, обязанности и права, а также ожидаемые издержки и выгоды органов государственной власти и органов местного самоуправления области или сведения об их изменении: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</w:r>
      <w:r/>
    </w:p>
    <w:tbl>
      <w:tblPr>
        <w:tblpPr w:horzAnchor="margin" w:tblpXSpec="left" w:vertAnchor="text" w:tblpY="75" w:leftFromText="180" w:topFromText="0" w:rightFromText="180" w:bottomFromText="0"/>
        <w:tblW w:w="96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5"/>
        <w:gridCol w:w="3827"/>
        <w:gridCol w:w="2835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0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Наименование органа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27" w:type="dxa"/>
            <w:textDirection w:val="lrTb"/>
            <w:noWrap w:val="false"/>
          </w:tcPr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Описание новых или изменения существующих функций, полномочий, обязанностей 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br/>
              <w:t xml:space="preserve">или прав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Оценка изменения трудозатрат и (или) потребностей в иных ресурсах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05" w:type="dxa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Министерство сельского хозяйства и продовольствия Белгородской области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27" w:type="dxa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Функции министерства будут осуществляться в рамках ранее установленных полномочий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Дополнительные трудозатраты                        не потребуются</w:t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4.7. Оценка расходов (возможных поступлений) консолидированного бюджета Белгородской </w:t>
      </w:r>
      <w:r>
        <w:rPr>
          <w:rFonts w:ascii="Times New Roman" w:hAnsi="Times New Roman" w:eastAsia="Calibri" w:cs="Times New Roman"/>
          <w:sz w:val="26"/>
          <w:szCs w:val="26"/>
        </w:rPr>
        <w:t xml:space="preserve">области:*</w:t>
      </w:r>
      <w:r/>
    </w:p>
    <w:p>
      <w:pPr>
        <w:jc w:val="both"/>
        <w:spacing w:after="0" w:line="240" w:lineRule="auto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</w:r>
      <w:r/>
    </w:p>
    <w:tbl>
      <w:tblPr>
        <w:tblpPr w:horzAnchor="margin" w:tblpXSpec="left" w:vertAnchor="text" w:tblpY="58" w:leftFromText="180" w:topFromText="0" w:rightFromText="180" w:bottomFromText="0"/>
        <w:tblW w:w="96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0"/>
        <w:gridCol w:w="3402"/>
        <w:gridCol w:w="3435"/>
      </w:tblGrid>
      <w:tr>
        <w:trPr/>
        <w:tc>
          <w:tcPr>
            <w:tcW w:w="2830" w:type="dxa"/>
            <w:textDirection w:val="lrTb"/>
            <w:noWrap w:val="false"/>
          </w:tcPr>
          <w:p>
            <w:pPr>
              <w:ind w:left="-35" w:right="-25" w:firstLine="35"/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Описание новых или изменения существующих функций, полномочий, обязанностей или прав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Описание видов расходов (возможных поступлений) консолидированного бюджета Белгородской области </w:t>
            </w:r>
            <w:r/>
          </w:p>
        </w:tc>
        <w:tc>
          <w:tcPr>
            <w:tcW w:w="34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Количественная оценка расходов и возможных поступлений,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тыс. руб.</w:t>
            </w:r>
            <w:r/>
          </w:p>
        </w:tc>
      </w:tr>
      <w:tr>
        <w:trPr/>
        <w:tc>
          <w:tcPr>
            <w:tcW w:w="2830" w:type="dxa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Министерство сельского хозяйства и продовольствия Белгородской области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грантов </w:t>
            </w:r>
            <w:r>
              <w:t xml:space="preserve"> 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сельскохозяйственным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 потребительским кооперативам для развития материально-технической базы</w:t>
            </w:r>
            <w:r/>
          </w:p>
        </w:tc>
        <w:tc>
          <w:tcPr>
            <w:tcW w:w="3435" w:type="dxa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Финансирование в 2024 году будет осуществляться в виде субсидии на общую сумму                      </w:t>
            </w:r>
            <w:r>
              <w:t xml:space="preserve"> 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29 210, 52632 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тыс. рублей, в том числе из федерального 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бюджета </w:t>
            </w:r>
            <w:r>
              <w:t xml:space="preserve"> 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22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 200, 000 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тыс. руб. (76 %) и </w:t>
            </w:r>
            <w:r>
              <w:t xml:space="preserve">               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7 010, 52632 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тыс. руб. (24%) из бюджета Белгородской области.</w:t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/>
          <w:bCs/>
          <w:sz w:val="20"/>
          <w:szCs w:val="20"/>
        </w:rPr>
      </w:pPr>
      <w:r>
        <w:rPr>
          <w:rFonts w:ascii="Times New Roman" w:hAnsi="Times New Roman" w:eastAsia="Calibri" w:cs="Times New Roman"/>
          <w:b/>
          <w:bCs/>
          <w:sz w:val="20"/>
          <w:szCs w:val="20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4.8. Информация о наличии или отсутствии в проекте нормативного правового акта обязательных требований: нормативно-правовой акт не предусматривает обязательных требований.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Cs/>
          <w:sz w:val="26"/>
          <w:szCs w:val="26"/>
        </w:rPr>
      </w:pPr>
      <w:r>
        <w:rPr>
          <w:rFonts w:ascii="Times New Roman" w:hAnsi="Times New Roman" w:eastAsia="Calibri" w:cs="Times New Roman"/>
          <w:bCs/>
          <w:sz w:val="26"/>
          <w:szCs w:val="26"/>
        </w:rPr>
        <w:t xml:space="preserve">5. Риски решения проблемы предложенным способом правового регулирования и риски негативных последствий, в том числе для конкуренции, а также описание методов контроля эффективности избранного способа достижения целей регулирования:</w:t>
      </w:r>
      <w:r/>
    </w:p>
    <w:tbl>
      <w:tblPr>
        <w:tblpPr w:horzAnchor="margin" w:tblpXSpec="left" w:vertAnchor="text" w:tblpY="189" w:leftFromText="180" w:topFromText="0" w:rightFromText="180" w:bottomFromText="0"/>
        <w:tblW w:w="96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6"/>
        <w:gridCol w:w="1951"/>
        <w:gridCol w:w="3860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5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Риски решения проблемы предложенным способом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и риски негативных последствий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Оценка вероятности наступления рисков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Методы контроля эффективности избранного способа достижения целей регулирования</w:t>
            </w:r>
            <w:r/>
          </w:p>
        </w:tc>
      </w:tr>
      <w:tr>
        <w:trPr>
          <w:cantSplit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56" w:type="dxa"/>
            <w:textDirection w:val="lrTb"/>
            <w:noWrap w:val="false"/>
          </w:tcPr>
          <w:p>
            <w:pPr>
              <w:ind w:right="57"/>
              <w:jc w:val="both"/>
              <w:keepNext/>
              <w:spacing w:after="0" w:line="240" w:lineRule="auto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Уменьшение числа потенциальных участников мероприятий</w:t>
            </w: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предоставлению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грантов на развитие материально-технической базы 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низкая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60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Проведение обучающих семинаров. Информирование населения о мерах поддержки</w:t>
            </w:r>
            <w:r/>
          </w:p>
        </w:tc>
      </w:tr>
      <w:tr>
        <w:trPr>
          <w:cantSplit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56" w:type="dxa"/>
            <w:textDirection w:val="lrTb"/>
            <w:noWrap w:val="false"/>
          </w:tcPr>
          <w:p>
            <w:pPr>
              <w:pStyle w:val="828"/>
              <w:ind w:left="142"/>
              <w:jc w:val="both"/>
              <w:spacing w:after="0" w:line="240" w:lineRule="auto"/>
              <w:tabs>
                <w:tab w:val="left" w:pos="426" w:leader="none"/>
              </w:tabs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 xml:space="preserve">2. Сокращение интереса у потенциальных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грантов. Снижение процента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выручки  сельскохозяйственных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потребительских кооперативов сформированной за счет  перерабатывающей и сбытовой деятельности.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низкая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60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Проведение обучающих семинаров. Информирование населения о мерах поддержки</w:t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Cs/>
          <w:sz w:val="26"/>
          <w:szCs w:val="26"/>
        </w:rPr>
      </w:pPr>
      <w:r>
        <w:rPr>
          <w:rFonts w:ascii="Times New Roman" w:hAnsi="Times New Roman" w:eastAsia="Calibri" w:cs="Times New Roman"/>
          <w:bCs/>
          <w:sz w:val="26"/>
          <w:szCs w:val="26"/>
        </w:rPr>
        <w:t xml:space="preserve">6. Необходимые для достижения заявленных целей регулирования организационно-технические, методологические, информационные и иные </w:t>
      </w:r>
      <w:r>
        <w:rPr>
          <w:rFonts w:ascii="Times New Roman" w:hAnsi="Times New Roman" w:eastAsia="Calibri" w:cs="Times New Roman"/>
          <w:bCs/>
          <w:sz w:val="26"/>
          <w:szCs w:val="26"/>
        </w:rPr>
        <w:t xml:space="preserve">мероприятия:*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/>
          <w:bCs/>
          <w:sz w:val="26"/>
          <w:szCs w:val="26"/>
        </w:rPr>
      </w:pPr>
      <w:r>
        <w:rPr>
          <w:rFonts w:ascii="Times New Roman" w:hAnsi="Times New Roman" w:eastAsia="Calibri" w:cs="Times New Roman"/>
          <w:b/>
          <w:bCs/>
          <w:sz w:val="26"/>
          <w:szCs w:val="26"/>
        </w:rPr>
      </w:r>
      <w:r/>
    </w:p>
    <w:tbl>
      <w:tblPr>
        <w:tblW w:w="96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8"/>
        <w:gridCol w:w="1417"/>
        <w:gridCol w:w="1418"/>
        <w:gridCol w:w="1276"/>
        <w:gridCol w:w="1308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Мероприятия, необходимые для достижения целей регулирования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ind w:right="-32"/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Сроки реализации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Описание ожидаемого результата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финансиро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вания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Источники 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финансиро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вания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426" w:leader="none"/>
              </w:tabs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Размещение информации о принятии постановления Правительства Белгородской области на официальном сайте департамента (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belapk.ru )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 и на едином портале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ind w:right="117"/>
              <w:jc w:val="center"/>
              <w:spacing w:after="0" w:line="240" w:lineRule="auto"/>
              <w:tabs>
                <w:tab w:val="left" w:pos="426" w:leader="none"/>
              </w:tabs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М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арт 2024 года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ind w:left="142"/>
              <w:jc w:val="center"/>
              <w:spacing w:after="0" w:line="240" w:lineRule="auto"/>
              <w:tabs>
                <w:tab w:val="left" w:pos="426" w:leader="none"/>
              </w:tabs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left="142"/>
              <w:jc w:val="center"/>
              <w:spacing w:after="0" w:line="240" w:lineRule="auto"/>
              <w:tabs>
                <w:tab w:val="left" w:pos="426" w:leader="none"/>
              </w:tabs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нет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08" w:type="dxa"/>
            <w:vAlign w:val="center"/>
            <w:textDirection w:val="lrTb"/>
            <w:noWrap w:val="false"/>
          </w:tcPr>
          <w:p>
            <w:pPr>
              <w:ind w:left="142"/>
              <w:jc w:val="center"/>
              <w:spacing w:after="0" w:line="240" w:lineRule="auto"/>
              <w:tabs>
                <w:tab w:val="left" w:pos="426" w:leader="none"/>
              </w:tabs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нет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426" w:leader="none"/>
              </w:tabs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Мониторинг предоставленных грантов на развитие материально-технической 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базы сельскохозяйственных потребительских кооперативов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ind w:right="117"/>
              <w:jc w:val="center"/>
              <w:spacing w:after="0" w:line="240" w:lineRule="auto"/>
              <w:tabs>
                <w:tab w:val="left" w:pos="426" w:leader="none"/>
              </w:tabs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Март 2024 года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ind w:left="-27"/>
              <w:jc w:val="both"/>
              <w:spacing w:after="0" w:line="240" w:lineRule="auto"/>
              <w:tabs>
                <w:tab w:val="left" w:pos="426" w:leader="none"/>
              </w:tabs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Предоставление грантов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left="142"/>
              <w:jc w:val="center"/>
              <w:spacing w:after="0" w:line="240" w:lineRule="auto"/>
              <w:tabs>
                <w:tab w:val="left" w:pos="426" w:leader="none"/>
              </w:tabs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нет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08" w:type="dxa"/>
            <w:vAlign w:val="center"/>
            <w:textDirection w:val="lrTb"/>
            <w:noWrap w:val="false"/>
          </w:tcPr>
          <w:p>
            <w:pPr>
              <w:ind w:left="142"/>
              <w:jc w:val="center"/>
              <w:spacing w:after="0" w:line="240" w:lineRule="auto"/>
              <w:tabs>
                <w:tab w:val="left" w:pos="426" w:leader="none"/>
              </w:tabs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нет</w:t>
            </w:r>
            <w:r/>
          </w:p>
        </w:tc>
      </w:tr>
    </w:tbl>
    <w:p>
      <w:pPr>
        <w:ind w:firstLine="709"/>
        <w:spacing w:after="0" w:line="240" w:lineRule="auto"/>
        <w:rPr>
          <w:rFonts w:ascii="Times New Roman" w:hAnsi="Times New Roman" w:eastAsia="Calibri" w:cs="Times New Roman"/>
          <w:b/>
          <w:bCs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</w:rPr>
      </w:r>
      <w:r/>
    </w:p>
    <w:p>
      <w:pPr>
        <w:ind w:firstLine="709"/>
        <w:spacing w:after="0" w:line="240" w:lineRule="auto"/>
        <w:rPr>
          <w:rFonts w:ascii="Times New Roman" w:hAnsi="Times New Roman" w:eastAsia="Calibri" w:cs="Times New Roman"/>
          <w:bCs/>
          <w:sz w:val="26"/>
          <w:szCs w:val="26"/>
        </w:rPr>
      </w:pPr>
      <w:r>
        <w:rPr>
          <w:rFonts w:ascii="Times New Roman" w:hAnsi="Times New Roman" w:eastAsia="Calibri" w:cs="Times New Roman"/>
          <w:bCs/>
          <w:sz w:val="26"/>
          <w:szCs w:val="26"/>
        </w:rPr>
        <w:t xml:space="preserve">7. Ожидаемые измеримые результаты правового </w:t>
      </w:r>
      <w:r>
        <w:rPr>
          <w:rFonts w:ascii="Times New Roman" w:hAnsi="Times New Roman" w:eastAsia="Calibri" w:cs="Times New Roman"/>
          <w:bCs/>
          <w:sz w:val="26"/>
          <w:szCs w:val="26"/>
        </w:rPr>
        <w:t xml:space="preserve">регулирования:*</w:t>
      </w:r>
      <w:r/>
    </w:p>
    <w:p>
      <w:pPr>
        <w:ind w:firstLine="709"/>
        <w:spacing w:after="0" w:line="240" w:lineRule="auto"/>
        <w:rPr>
          <w:rFonts w:ascii="Times New Roman" w:hAnsi="Times New Roman" w:eastAsia="Calibri" w:cs="Times New Roman"/>
          <w:b/>
          <w:bCs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</w:rPr>
      </w:r>
      <w:r/>
    </w:p>
    <w:tbl>
      <w:tblPr>
        <w:tblW w:w="97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1418"/>
        <w:gridCol w:w="2126"/>
        <w:gridCol w:w="2126"/>
      </w:tblGrid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0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Ключевые показатели достижения целей, заявленных 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br/>
              <w:t xml:space="preserve">в предложенном регулировании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ind w:left="-106" w:right="-103" w:firstLine="106"/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Коли-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чествнное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 значение ключевых показателей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Методы контроля эффективности достижения целей правового регулирования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Срок оценки достижения ключевых показателей 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br/>
              <w:t xml:space="preserve">(не более 5 лет)</w:t>
            </w:r>
            <w:r/>
          </w:p>
        </w:tc>
      </w:tr>
      <w:tr>
        <w:trPr>
          <w:trHeight w:val="280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426" w:leader="none"/>
              </w:tabs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1. К декабрю 2024 года оказание грантовой поддержки не менее чем   2 грантополучателям. </w:t>
            </w:r>
            <w:r/>
          </w:p>
          <w:p>
            <w:pPr>
              <w:jc w:val="both"/>
              <w:spacing w:after="0" w:line="240" w:lineRule="auto"/>
              <w:tabs>
                <w:tab w:val="left" w:pos="426" w:leader="none"/>
              </w:tabs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Финансирование на оказание грантовой поддержки сельскохозяйственным потребительским 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кооперативам  предусмотрено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 в размере 29, 21 млн. руб.</w:t>
            </w:r>
            <w:r/>
          </w:p>
          <w:p>
            <w:pPr>
              <w:jc w:val="both"/>
              <w:spacing w:after="0" w:line="240" w:lineRule="auto"/>
              <w:tabs>
                <w:tab w:val="left" w:pos="426" w:leader="none"/>
              </w:tabs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2.Увеличением объема реализуемой сельскохозяйственной продукции в течение не менее 5 лет</w:t>
            </w:r>
            <w:r/>
          </w:p>
          <w:p>
            <w:pPr>
              <w:jc w:val="both"/>
              <w:spacing w:after="0" w:line="240" w:lineRule="auto"/>
              <w:tabs>
                <w:tab w:val="left" w:pos="426" w:leader="none"/>
              </w:tabs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6" w:type="dxa"/>
            <w:textDirection w:val="lrTb"/>
            <w:noWrap w:val="false"/>
          </w:tcPr>
          <w:p>
            <w:pPr>
              <w:ind w:left="36" w:right="37"/>
              <w:spacing w:after="0" w:line="240" w:lineRule="auto"/>
              <w:tabs>
                <w:tab w:val="left" w:pos="426" w:leader="none"/>
              </w:tabs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Оценка поступивших заявок от сельскохозяйственных товаропроизводителей</w:t>
            </w:r>
            <w:r/>
          </w:p>
          <w:p>
            <w:pPr>
              <w:ind w:left="36" w:right="37"/>
              <w:spacing w:after="0" w:line="240" w:lineRule="auto"/>
              <w:tabs>
                <w:tab w:val="left" w:pos="426" w:leader="none"/>
              </w:tabs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r>
            <w:r/>
          </w:p>
          <w:p>
            <w:pPr>
              <w:ind w:right="37"/>
              <w:spacing w:after="0" w:line="240" w:lineRule="auto"/>
              <w:tabs>
                <w:tab w:val="left" w:pos="426" w:leader="none"/>
              </w:tabs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Квартальная отчётность в Минсельхоз РФ в «1С: Предприятие. ИС ПК 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ГП»  (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Отчет об эффективности использования средств грантовой поддержки и сроков ее представления в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сельскохозяйственных потребительских кооперативов)</w:t>
            </w:r>
            <w:r/>
          </w:p>
          <w:p>
            <w:pPr>
              <w:ind w:left="36" w:right="37"/>
              <w:spacing w:after="0" w:line="240" w:lineRule="auto"/>
              <w:tabs>
                <w:tab w:val="left" w:pos="426" w:leader="none"/>
              </w:tabs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Декабрь 202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 года</w:t>
            </w:r>
            <w:r/>
          </w:p>
          <w:p>
            <w:pP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Ежегодно (в течение 5 лет с предоставления гранта для развитие материально-технической базы)</w:t>
            </w:r>
            <w:r/>
          </w:p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/>
          <w:bCs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bCs/>
          <w:sz w:val="26"/>
          <w:szCs w:val="26"/>
        </w:rPr>
        <w:t xml:space="preserve">8. Предполагаемая дата вступления в силу проекта нормативного правового акта: </w:t>
      </w:r>
      <w:r>
        <w:rPr>
          <w:rFonts w:ascii="Times New Roman" w:hAnsi="Times New Roman" w:eastAsia="Calibri" w:cs="Times New Roman"/>
          <w:sz w:val="26"/>
          <w:szCs w:val="26"/>
        </w:rPr>
        <w:t xml:space="preserve">1 квартал 2024 года.</w:t>
      </w:r>
      <w:r/>
    </w:p>
    <w:tbl>
      <w:tblPr>
        <w:tblW w:w="0" w:type="auto"/>
        <w:tblLook w:val="04A0" w:firstRow="1" w:lastRow="0" w:firstColumn="1" w:lastColumn="0" w:noHBand="0" w:noVBand="1"/>
      </w:tblPr>
      <w:tblGrid>
        <w:gridCol w:w="5147"/>
        <w:gridCol w:w="456"/>
        <w:gridCol w:w="1357"/>
        <w:gridCol w:w="448"/>
        <w:gridCol w:w="448"/>
        <w:gridCol w:w="1783"/>
      </w:tblGrid>
      <w:tr>
        <w:trPr>
          <w:trHeight w:val="419"/>
        </w:trPr>
        <w:tc>
          <w:tcPr>
            <w:shd w:val="clear" w:color="auto" w:fill="auto"/>
            <w:tcW w:w="527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46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13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45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45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181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</w:tr>
      <w:tr>
        <w:trPr>
          <w:trHeight w:val="679"/>
        </w:trPr>
        <w:tc>
          <w:tcPr>
            <w:shd w:val="clear" w:color="auto" w:fill="auto"/>
            <w:tcW w:w="527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Министр сельского хозяйства                               и продовольствия Белгородской области</w:t>
            </w:r>
            <w:r/>
          </w:p>
        </w:tc>
        <w:tc>
          <w:tcPr>
            <w:shd w:val="clear" w:color="auto" w:fill="auto"/>
            <w:tcW w:w="46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138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45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45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181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bottom w:val="single" w:color="auto" w:sz="4" w:space="0"/>
            </w:tcBorders>
            <w:tcW w:w="527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А.А. Антоненко</w:t>
            </w:r>
            <w:r/>
          </w:p>
        </w:tc>
        <w:tc>
          <w:tcPr>
            <w:shd w:val="clear" w:color="auto" w:fill="auto"/>
            <w:tcW w:w="46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13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45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45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181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</w:tcBorders>
            <w:tcW w:w="527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(инициалы, фамилия)</w:t>
            </w:r>
            <w:r/>
          </w:p>
        </w:tc>
        <w:tc>
          <w:tcPr>
            <w:shd w:val="clear" w:color="auto" w:fill="auto"/>
            <w:tcW w:w="46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</w:tcBorders>
            <w:tcW w:w="13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 (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дата )</w:t>
            </w:r>
            <w:r/>
          </w:p>
        </w:tc>
        <w:tc>
          <w:tcPr>
            <w:tcW w:w="45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shd w:val="clear" w:color="auto" w:fill="auto"/>
            <w:tcW w:w="45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</w:tcBorders>
            <w:tcW w:w="181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(подпись)</w:t>
            </w:r>
            <w:r/>
          </w:p>
        </w:tc>
      </w:tr>
    </w:tbl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sectPr>
      <w:footnotePr/>
      <w:endnotePr/>
      <w:type w:val="nextPage"/>
      <w:pgSz w:w="11906" w:h="16838" w:orient="portrait"/>
      <w:pgMar w:top="567" w:right="566" w:bottom="568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Tahoma">
    <w:panose1 w:val="020B0604030504040204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17" w:hanging="360"/>
      </w:pPr>
      <w:rPr>
        <w:rFonts w:hint="default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7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48"/>
    <w:link w:val="639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648"/>
    <w:link w:val="640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648"/>
    <w:link w:val="641"/>
    <w:uiPriority w:val="9"/>
    <w:rPr>
      <w:rFonts w:ascii="Arial" w:hAnsi="Arial" w:eastAsia="Arial" w:cs="Arial"/>
      <w:sz w:val="30"/>
      <w:szCs w:val="30"/>
    </w:rPr>
  </w:style>
  <w:style w:type="character" w:styleId="19">
    <w:name w:val="Heading 4 Char"/>
    <w:basedOn w:val="648"/>
    <w:link w:val="642"/>
    <w:uiPriority w:val="9"/>
    <w:rPr>
      <w:rFonts w:ascii="Arial" w:hAnsi="Arial" w:eastAsia="Arial" w:cs="Arial"/>
      <w:b/>
      <w:bCs/>
      <w:sz w:val="26"/>
      <w:szCs w:val="26"/>
    </w:rPr>
  </w:style>
  <w:style w:type="character" w:styleId="21">
    <w:name w:val="Heading 5 Char"/>
    <w:basedOn w:val="648"/>
    <w:link w:val="643"/>
    <w:uiPriority w:val="9"/>
    <w:rPr>
      <w:rFonts w:ascii="Arial" w:hAnsi="Arial" w:eastAsia="Arial" w:cs="Arial"/>
      <w:b/>
      <w:bCs/>
      <w:sz w:val="24"/>
      <w:szCs w:val="24"/>
    </w:rPr>
  </w:style>
  <w:style w:type="character" w:styleId="23">
    <w:name w:val="Heading 6 Char"/>
    <w:basedOn w:val="648"/>
    <w:link w:val="644"/>
    <w:uiPriority w:val="9"/>
    <w:rPr>
      <w:rFonts w:ascii="Arial" w:hAnsi="Arial" w:eastAsia="Arial" w:cs="Arial"/>
      <w:b/>
      <w:bCs/>
      <w:sz w:val="22"/>
      <w:szCs w:val="22"/>
    </w:rPr>
  </w:style>
  <w:style w:type="character" w:styleId="25">
    <w:name w:val="Heading 7 Char"/>
    <w:basedOn w:val="648"/>
    <w:link w:val="64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7">
    <w:name w:val="Heading 8 Char"/>
    <w:basedOn w:val="648"/>
    <w:link w:val="646"/>
    <w:uiPriority w:val="9"/>
    <w:rPr>
      <w:rFonts w:ascii="Arial" w:hAnsi="Arial" w:eastAsia="Arial" w:cs="Arial"/>
      <w:i/>
      <w:iCs/>
      <w:sz w:val="22"/>
      <w:szCs w:val="22"/>
    </w:rPr>
  </w:style>
  <w:style w:type="character" w:styleId="29">
    <w:name w:val="Heading 9 Char"/>
    <w:basedOn w:val="648"/>
    <w:link w:val="647"/>
    <w:uiPriority w:val="9"/>
    <w:rPr>
      <w:rFonts w:ascii="Arial" w:hAnsi="Arial" w:eastAsia="Arial" w:cs="Arial"/>
      <w:i/>
      <w:iCs/>
      <w:sz w:val="21"/>
      <w:szCs w:val="21"/>
    </w:rPr>
  </w:style>
  <w:style w:type="character" w:styleId="34">
    <w:name w:val="Title Char"/>
    <w:basedOn w:val="648"/>
    <w:link w:val="661"/>
    <w:uiPriority w:val="10"/>
    <w:rPr>
      <w:sz w:val="48"/>
      <w:szCs w:val="48"/>
    </w:rPr>
  </w:style>
  <w:style w:type="character" w:styleId="36">
    <w:name w:val="Subtitle Char"/>
    <w:basedOn w:val="648"/>
    <w:link w:val="663"/>
    <w:uiPriority w:val="11"/>
    <w:rPr>
      <w:sz w:val="24"/>
      <w:szCs w:val="24"/>
    </w:rPr>
  </w:style>
  <w:style w:type="character" w:styleId="38">
    <w:name w:val="Quote Char"/>
    <w:link w:val="665"/>
    <w:uiPriority w:val="29"/>
    <w:rPr>
      <w:i/>
    </w:rPr>
  </w:style>
  <w:style w:type="character" w:styleId="40">
    <w:name w:val="Intense Quote Char"/>
    <w:link w:val="667"/>
    <w:uiPriority w:val="30"/>
    <w:rPr>
      <w:i/>
    </w:rPr>
  </w:style>
  <w:style w:type="character" w:styleId="175">
    <w:name w:val="Footnote Text Char"/>
    <w:link w:val="799"/>
    <w:uiPriority w:val="99"/>
    <w:rPr>
      <w:sz w:val="18"/>
    </w:rPr>
  </w:style>
  <w:style w:type="character" w:styleId="178">
    <w:name w:val="Endnote Text Char"/>
    <w:link w:val="802"/>
    <w:uiPriority w:val="99"/>
    <w:rPr>
      <w:sz w:val="20"/>
    </w:rPr>
  </w:style>
  <w:style w:type="paragraph" w:styleId="638" w:default="1">
    <w:name w:val="Normal"/>
    <w:qFormat/>
  </w:style>
  <w:style w:type="paragraph" w:styleId="639">
    <w:name w:val="Heading 1"/>
    <w:basedOn w:val="638"/>
    <w:next w:val="638"/>
    <w:link w:val="651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640">
    <w:name w:val="Heading 2"/>
    <w:basedOn w:val="638"/>
    <w:next w:val="638"/>
    <w:link w:val="652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641">
    <w:name w:val="Heading 3"/>
    <w:basedOn w:val="638"/>
    <w:next w:val="638"/>
    <w:link w:val="653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642">
    <w:name w:val="Heading 4"/>
    <w:basedOn w:val="638"/>
    <w:next w:val="638"/>
    <w:link w:val="654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43">
    <w:name w:val="Heading 5"/>
    <w:basedOn w:val="638"/>
    <w:next w:val="638"/>
    <w:link w:val="655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638"/>
    <w:next w:val="638"/>
    <w:link w:val="656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645">
    <w:name w:val="Heading 7"/>
    <w:basedOn w:val="638"/>
    <w:next w:val="638"/>
    <w:link w:val="657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646">
    <w:name w:val="Heading 8"/>
    <w:basedOn w:val="638"/>
    <w:next w:val="638"/>
    <w:link w:val="658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647">
    <w:name w:val="Heading 9"/>
    <w:basedOn w:val="638"/>
    <w:next w:val="638"/>
    <w:link w:val="659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48" w:default="1">
    <w:name w:val="Default Paragraph Font"/>
    <w:uiPriority w:val="1"/>
    <w:semiHidden/>
    <w:unhideWhenUsed/>
  </w:style>
  <w:style w:type="table" w:styleId="64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0" w:default="1">
    <w:name w:val="No List"/>
    <w:uiPriority w:val="99"/>
    <w:semiHidden/>
    <w:unhideWhenUsed/>
  </w:style>
  <w:style w:type="character" w:styleId="651" w:customStyle="1">
    <w:name w:val="Заголовок 1 Знак"/>
    <w:basedOn w:val="648"/>
    <w:link w:val="639"/>
    <w:uiPriority w:val="9"/>
    <w:rPr>
      <w:rFonts w:ascii="Arial" w:hAnsi="Arial" w:eastAsia="Arial" w:cs="Arial"/>
      <w:sz w:val="40"/>
      <w:szCs w:val="40"/>
    </w:rPr>
  </w:style>
  <w:style w:type="character" w:styleId="652" w:customStyle="1">
    <w:name w:val="Заголовок 2 Знак"/>
    <w:basedOn w:val="648"/>
    <w:link w:val="640"/>
    <w:uiPriority w:val="9"/>
    <w:rPr>
      <w:rFonts w:ascii="Arial" w:hAnsi="Arial" w:eastAsia="Arial" w:cs="Arial"/>
      <w:sz w:val="34"/>
    </w:rPr>
  </w:style>
  <w:style w:type="character" w:styleId="653" w:customStyle="1">
    <w:name w:val="Заголовок 3 Знак"/>
    <w:basedOn w:val="648"/>
    <w:link w:val="641"/>
    <w:uiPriority w:val="9"/>
    <w:rPr>
      <w:rFonts w:ascii="Arial" w:hAnsi="Arial" w:eastAsia="Arial" w:cs="Arial"/>
      <w:sz w:val="30"/>
      <w:szCs w:val="30"/>
    </w:rPr>
  </w:style>
  <w:style w:type="character" w:styleId="654" w:customStyle="1">
    <w:name w:val="Заголовок 4 Знак"/>
    <w:basedOn w:val="648"/>
    <w:link w:val="642"/>
    <w:uiPriority w:val="9"/>
    <w:rPr>
      <w:rFonts w:ascii="Arial" w:hAnsi="Arial" w:eastAsia="Arial" w:cs="Arial"/>
      <w:b/>
      <w:bCs/>
      <w:sz w:val="26"/>
      <w:szCs w:val="26"/>
    </w:rPr>
  </w:style>
  <w:style w:type="character" w:styleId="655" w:customStyle="1">
    <w:name w:val="Заголовок 5 Знак"/>
    <w:basedOn w:val="648"/>
    <w:link w:val="643"/>
    <w:uiPriority w:val="9"/>
    <w:rPr>
      <w:rFonts w:ascii="Arial" w:hAnsi="Arial" w:eastAsia="Arial" w:cs="Arial"/>
      <w:b/>
      <w:bCs/>
      <w:sz w:val="24"/>
      <w:szCs w:val="24"/>
    </w:rPr>
  </w:style>
  <w:style w:type="character" w:styleId="656" w:customStyle="1">
    <w:name w:val="Заголовок 6 Знак"/>
    <w:basedOn w:val="648"/>
    <w:link w:val="644"/>
    <w:uiPriority w:val="9"/>
    <w:rPr>
      <w:rFonts w:ascii="Arial" w:hAnsi="Arial" w:eastAsia="Arial" w:cs="Arial"/>
      <w:b/>
      <w:bCs/>
      <w:sz w:val="22"/>
      <w:szCs w:val="22"/>
    </w:rPr>
  </w:style>
  <w:style w:type="character" w:styleId="657" w:customStyle="1">
    <w:name w:val="Заголовок 7 Знак"/>
    <w:basedOn w:val="648"/>
    <w:link w:val="64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58" w:customStyle="1">
    <w:name w:val="Заголовок 8 Знак"/>
    <w:basedOn w:val="648"/>
    <w:link w:val="646"/>
    <w:uiPriority w:val="9"/>
    <w:rPr>
      <w:rFonts w:ascii="Arial" w:hAnsi="Arial" w:eastAsia="Arial" w:cs="Arial"/>
      <w:i/>
      <w:iCs/>
      <w:sz w:val="22"/>
      <w:szCs w:val="22"/>
    </w:rPr>
  </w:style>
  <w:style w:type="character" w:styleId="659" w:customStyle="1">
    <w:name w:val="Заголовок 9 Знак"/>
    <w:basedOn w:val="648"/>
    <w:link w:val="647"/>
    <w:uiPriority w:val="9"/>
    <w:rPr>
      <w:rFonts w:ascii="Arial" w:hAnsi="Arial" w:eastAsia="Arial" w:cs="Arial"/>
      <w:i/>
      <w:iCs/>
      <w:sz w:val="21"/>
      <w:szCs w:val="21"/>
    </w:rPr>
  </w:style>
  <w:style w:type="paragraph" w:styleId="660">
    <w:name w:val="No Spacing"/>
    <w:uiPriority w:val="1"/>
    <w:qFormat/>
    <w:pPr>
      <w:spacing w:after="0" w:line="240" w:lineRule="auto"/>
    </w:pPr>
  </w:style>
  <w:style w:type="paragraph" w:styleId="661">
    <w:name w:val="Title"/>
    <w:basedOn w:val="638"/>
    <w:next w:val="638"/>
    <w:link w:val="662"/>
    <w:uiPriority w:val="10"/>
    <w:qFormat/>
    <w:pPr>
      <w:contextualSpacing/>
      <w:spacing w:before="300"/>
    </w:pPr>
    <w:rPr>
      <w:sz w:val="48"/>
      <w:szCs w:val="48"/>
    </w:rPr>
  </w:style>
  <w:style w:type="character" w:styleId="662" w:customStyle="1">
    <w:name w:val="Заголовок Знак"/>
    <w:basedOn w:val="648"/>
    <w:link w:val="661"/>
    <w:uiPriority w:val="10"/>
    <w:rPr>
      <w:sz w:val="48"/>
      <w:szCs w:val="48"/>
    </w:rPr>
  </w:style>
  <w:style w:type="paragraph" w:styleId="663">
    <w:name w:val="Subtitle"/>
    <w:basedOn w:val="638"/>
    <w:next w:val="638"/>
    <w:link w:val="664"/>
    <w:uiPriority w:val="11"/>
    <w:qFormat/>
    <w:pPr>
      <w:spacing w:before="200"/>
    </w:pPr>
    <w:rPr>
      <w:sz w:val="24"/>
      <w:szCs w:val="24"/>
    </w:rPr>
  </w:style>
  <w:style w:type="character" w:styleId="664" w:customStyle="1">
    <w:name w:val="Подзаголовок Знак"/>
    <w:basedOn w:val="648"/>
    <w:link w:val="663"/>
    <w:uiPriority w:val="11"/>
    <w:rPr>
      <w:sz w:val="24"/>
      <w:szCs w:val="24"/>
    </w:rPr>
  </w:style>
  <w:style w:type="paragraph" w:styleId="665">
    <w:name w:val="Quote"/>
    <w:basedOn w:val="638"/>
    <w:next w:val="638"/>
    <w:link w:val="666"/>
    <w:uiPriority w:val="29"/>
    <w:qFormat/>
    <w:pPr>
      <w:ind w:left="720" w:right="720"/>
    </w:pPr>
    <w:rPr>
      <w:i/>
    </w:rPr>
  </w:style>
  <w:style w:type="character" w:styleId="666" w:customStyle="1">
    <w:name w:val="Цитата 2 Знак"/>
    <w:link w:val="665"/>
    <w:uiPriority w:val="29"/>
    <w:rPr>
      <w:i/>
    </w:rPr>
  </w:style>
  <w:style w:type="paragraph" w:styleId="667">
    <w:name w:val="Intense Quote"/>
    <w:basedOn w:val="638"/>
    <w:next w:val="638"/>
    <w:link w:val="668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8" w:customStyle="1">
    <w:name w:val="Выделенная цитата Знак"/>
    <w:link w:val="667"/>
    <w:uiPriority w:val="30"/>
    <w:rPr>
      <w:i/>
    </w:rPr>
  </w:style>
  <w:style w:type="character" w:styleId="669" w:customStyle="1">
    <w:name w:val="Header Char"/>
    <w:basedOn w:val="648"/>
    <w:uiPriority w:val="99"/>
  </w:style>
  <w:style w:type="character" w:styleId="670" w:customStyle="1">
    <w:name w:val="Footer Char"/>
    <w:basedOn w:val="648"/>
    <w:uiPriority w:val="99"/>
  </w:style>
  <w:style w:type="paragraph" w:styleId="671">
    <w:name w:val="Caption"/>
    <w:basedOn w:val="638"/>
    <w:next w:val="638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672" w:customStyle="1">
    <w:name w:val="Caption Char"/>
    <w:uiPriority w:val="99"/>
  </w:style>
  <w:style w:type="table" w:styleId="673">
    <w:name w:val="Table Grid"/>
    <w:basedOn w:val="649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674" w:customStyle="1">
    <w:name w:val="Table Grid Light"/>
    <w:basedOn w:val="649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675">
    <w:name w:val="Plain Table 1"/>
    <w:basedOn w:val="649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2"/>
    <w:basedOn w:val="649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7">
    <w:name w:val="Plain Table 3"/>
    <w:basedOn w:val="64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8">
    <w:name w:val="Plain Table 4"/>
    <w:basedOn w:val="64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Plain Table 5"/>
    <w:basedOn w:val="64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0">
    <w:name w:val="Grid Table 1 Light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 w:customStyle="1">
    <w:name w:val="Grid Table 1 Light - Accent 1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 w:customStyle="1">
    <w:name w:val="Grid Table 1 Light - Accent 2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 w:customStyle="1">
    <w:name w:val="Grid Table 1 Light - Accent 3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 w:customStyle="1">
    <w:name w:val="Grid Table 1 Light - Accent 4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 w:customStyle="1">
    <w:name w:val="Grid Table 1 Light - Accent 5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 w:customStyle="1">
    <w:name w:val="Grid Table 1 Light - Accent 6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2"/>
    <w:basedOn w:val="64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 w:customStyle="1">
    <w:name w:val="Grid Table 2 - Accent 1"/>
    <w:basedOn w:val="64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 w:customStyle="1">
    <w:name w:val="Grid Table 2 - Accent 2"/>
    <w:basedOn w:val="64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 w:customStyle="1">
    <w:name w:val="Grid Table 2 - Accent 3"/>
    <w:basedOn w:val="64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 w:customStyle="1">
    <w:name w:val="Grid Table 2 - Accent 4"/>
    <w:basedOn w:val="64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 w:customStyle="1">
    <w:name w:val="Grid Table 2 - Accent 5"/>
    <w:basedOn w:val="64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 w:customStyle="1">
    <w:name w:val="Grid Table 2 - Accent 6"/>
    <w:basedOn w:val="64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"/>
    <w:basedOn w:val="64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 w:customStyle="1">
    <w:name w:val="Grid Table 3 - Accent 1"/>
    <w:basedOn w:val="64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 w:customStyle="1">
    <w:name w:val="Grid Table 3 - Accent 2"/>
    <w:basedOn w:val="64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 w:customStyle="1">
    <w:name w:val="Grid Table 3 - Accent 3"/>
    <w:basedOn w:val="64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 w:customStyle="1">
    <w:name w:val="Grid Table 3 - Accent 4"/>
    <w:basedOn w:val="64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 w:customStyle="1">
    <w:name w:val="Grid Table 3 - Accent 5"/>
    <w:basedOn w:val="64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 w:customStyle="1">
    <w:name w:val="Grid Table 3 - Accent 6"/>
    <w:basedOn w:val="64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4"/>
    <w:basedOn w:val="649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2" w:customStyle="1">
    <w:name w:val="Grid Table 4 - Accent 1"/>
    <w:basedOn w:val="649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03" w:customStyle="1">
    <w:name w:val="Grid Table 4 - Accent 2"/>
    <w:basedOn w:val="649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04" w:customStyle="1">
    <w:name w:val="Grid Table 4 - Accent 3"/>
    <w:basedOn w:val="649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05" w:customStyle="1">
    <w:name w:val="Grid Table 4 - Accent 4"/>
    <w:basedOn w:val="649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06" w:customStyle="1">
    <w:name w:val="Grid Table 4 - Accent 5"/>
    <w:basedOn w:val="649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07" w:customStyle="1">
    <w:name w:val="Grid Table 4 - Accent 6"/>
    <w:basedOn w:val="649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08">
    <w:name w:val="Grid Table 5 Dark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09" w:customStyle="1">
    <w:name w:val="Grid Table 5 Dark- Accent 1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10" w:customStyle="1">
    <w:name w:val="Grid Table 5 Dark - Accent 2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11" w:customStyle="1">
    <w:name w:val="Grid Table 5 Dark - Accent 3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12" w:customStyle="1">
    <w:name w:val="Grid Table 5 Dark- Accent 4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13" w:customStyle="1">
    <w:name w:val="Grid Table 5 Dark - Accent 5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14" w:customStyle="1">
    <w:name w:val="Grid Table 5 Dark - Accent 6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15">
    <w:name w:val="Grid Table 6 Colorful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6" w:customStyle="1">
    <w:name w:val="Grid Table 6 Colorful - Accent 1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17" w:customStyle="1">
    <w:name w:val="Grid Table 6 Colorful - Accent 2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18" w:customStyle="1">
    <w:name w:val="Grid Table 6 Colorful - Accent 3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19" w:customStyle="1">
    <w:name w:val="Grid Table 6 Colorful - Accent 4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20" w:customStyle="1">
    <w:name w:val="Grid Table 6 Colorful - Accent 5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1" w:customStyle="1">
    <w:name w:val="Grid Table 6 Colorful - Accent 6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2">
    <w:name w:val="Grid Table 7 Colorful"/>
    <w:basedOn w:val="64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3" w:customStyle="1">
    <w:name w:val="Grid Table 7 Colorful - Accent 1"/>
    <w:basedOn w:val="64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4" w:customStyle="1">
    <w:name w:val="Grid Table 7 Colorful - Accent 2"/>
    <w:basedOn w:val="64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5" w:customStyle="1">
    <w:name w:val="Grid Table 7 Colorful - Accent 3"/>
    <w:basedOn w:val="64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6" w:customStyle="1">
    <w:name w:val="Grid Table 7 Colorful - Accent 4"/>
    <w:basedOn w:val="64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7" w:customStyle="1">
    <w:name w:val="Grid Table 7 Colorful - Accent 5"/>
    <w:basedOn w:val="64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8" w:customStyle="1">
    <w:name w:val="Grid Table 7 Colorful - Accent 6"/>
    <w:basedOn w:val="64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9">
    <w:name w:val="List Table 1 Light"/>
    <w:basedOn w:val="64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List Table 1 Light - Accent 1"/>
    <w:basedOn w:val="64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List Table 1 Light - Accent 2"/>
    <w:basedOn w:val="64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List Table 1 Light - Accent 3"/>
    <w:basedOn w:val="64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List Table 1 Light - Accent 4"/>
    <w:basedOn w:val="64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 w:customStyle="1">
    <w:name w:val="List Table 1 Light - Accent 5"/>
    <w:basedOn w:val="64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 w:customStyle="1">
    <w:name w:val="List Table 1 Light - Accent 6"/>
    <w:basedOn w:val="64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2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37" w:customStyle="1">
    <w:name w:val="List Table 2 - Accent 1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38" w:customStyle="1">
    <w:name w:val="List Table 2 - Accent 2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39" w:customStyle="1">
    <w:name w:val="List Table 2 - Accent 3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40" w:customStyle="1">
    <w:name w:val="List Table 2 - Accent 4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41" w:customStyle="1">
    <w:name w:val="List Table 2 - Accent 5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42" w:customStyle="1">
    <w:name w:val="List Table 2 - Accent 6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43">
    <w:name w:val="List Table 3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List Table 3 - Accent 1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List Table 3 - Accent 2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List Table 3 - Accent 3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List Table 3 - Accent 4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List Table 3 - Accent 5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List Table 3 - Accent 6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List Table 4 - Accent 1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4 - Accent 2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4 - Accent 3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4 - Accent 4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4 - Accent 5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List Table 4 - Accent 6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5 Dark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8" w:customStyle="1">
    <w:name w:val="List Table 5 Dark - Accent 1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9" w:customStyle="1">
    <w:name w:val="List Table 5 Dark - Accent 2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0" w:customStyle="1">
    <w:name w:val="List Table 5 Dark - Accent 3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1" w:customStyle="1">
    <w:name w:val="List Table 5 Dark - Accent 4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2" w:customStyle="1">
    <w:name w:val="List Table 5 Dark - Accent 5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3" w:customStyle="1">
    <w:name w:val="List Table 5 Dark - Accent 6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4">
    <w:name w:val="List Table 6 Colorful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65" w:customStyle="1">
    <w:name w:val="List Table 6 Colorful - Accent 1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766" w:customStyle="1">
    <w:name w:val="List Table 6 Colorful - Accent 2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767" w:customStyle="1">
    <w:name w:val="List Table 6 Colorful - Accent 3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768" w:customStyle="1">
    <w:name w:val="List Table 6 Colorful - Accent 4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769" w:customStyle="1">
    <w:name w:val="List Table 6 Colorful - Accent 5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770" w:customStyle="1">
    <w:name w:val="List Table 6 Colorful - Accent 6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771">
    <w:name w:val="List Table 7 Colorful"/>
    <w:basedOn w:val="64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2" w:customStyle="1">
    <w:name w:val="List Table 7 Colorful - Accent 1"/>
    <w:basedOn w:val="64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3" w:customStyle="1">
    <w:name w:val="List Table 7 Colorful - Accent 2"/>
    <w:basedOn w:val="64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4" w:customStyle="1">
    <w:name w:val="List Table 7 Colorful - Accent 3"/>
    <w:basedOn w:val="64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5" w:customStyle="1">
    <w:name w:val="List Table 7 Colorful - Accent 4"/>
    <w:basedOn w:val="64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6" w:customStyle="1">
    <w:name w:val="List Table 7 Colorful - Accent 5"/>
    <w:basedOn w:val="64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7" w:customStyle="1">
    <w:name w:val="List Table 7 Colorful - Accent 6"/>
    <w:basedOn w:val="64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8" w:customStyle="1">
    <w:name w:val="Lined - Accent"/>
    <w:basedOn w:val="64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79" w:customStyle="1">
    <w:name w:val="Lined - Accent 1"/>
    <w:basedOn w:val="64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780" w:customStyle="1">
    <w:name w:val="Lined - Accent 2"/>
    <w:basedOn w:val="64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781" w:customStyle="1">
    <w:name w:val="Lined - Accent 3"/>
    <w:basedOn w:val="64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782" w:customStyle="1">
    <w:name w:val="Lined - Accent 4"/>
    <w:basedOn w:val="64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783" w:customStyle="1">
    <w:name w:val="Lined - Accent 5"/>
    <w:basedOn w:val="64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784" w:customStyle="1">
    <w:name w:val="Lined - Accent 6"/>
    <w:basedOn w:val="64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785" w:customStyle="1">
    <w:name w:val="Bordered &amp; Lined - Accent"/>
    <w:basedOn w:val="64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86" w:customStyle="1">
    <w:name w:val="Bordered &amp; Lined - Accent 1"/>
    <w:basedOn w:val="64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787" w:customStyle="1">
    <w:name w:val="Bordered &amp; Lined - Accent 2"/>
    <w:basedOn w:val="64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788" w:customStyle="1">
    <w:name w:val="Bordered &amp; Lined - Accent 3"/>
    <w:basedOn w:val="64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789" w:customStyle="1">
    <w:name w:val="Bordered &amp; Lined - Accent 4"/>
    <w:basedOn w:val="64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790" w:customStyle="1">
    <w:name w:val="Bordered &amp; Lined - Accent 5"/>
    <w:basedOn w:val="64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791" w:customStyle="1">
    <w:name w:val="Bordered &amp; Lined - Accent 6"/>
    <w:basedOn w:val="64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792" w:customStyle="1">
    <w:name w:val="Bordered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793" w:customStyle="1">
    <w:name w:val="Bordered - Accent 1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794" w:customStyle="1">
    <w:name w:val="Bordered - Accent 2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795" w:customStyle="1">
    <w:name w:val="Bordered - Accent 3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796" w:customStyle="1">
    <w:name w:val="Bordered - Accent 4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797" w:customStyle="1">
    <w:name w:val="Bordered - Accent 5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798" w:customStyle="1">
    <w:name w:val="Bordered - Accent 6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paragraph" w:styleId="799">
    <w:name w:val="footnote text"/>
    <w:basedOn w:val="638"/>
    <w:link w:val="800"/>
    <w:uiPriority w:val="99"/>
    <w:semiHidden/>
    <w:unhideWhenUsed/>
    <w:pPr>
      <w:spacing w:after="40" w:line="240" w:lineRule="auto"/>
    </w:pPr>
    <w:rPr>
      <w:sz w:val="18"/>
    </w:rPr>
  </w:style>
  <w:style w:type="character" w:styleId="800" w:customStyle="1">
    <w:name w:val="Текст сноски Знак"/>
    <w:link w:val="799"/>
    <w:uiPriority w:val="99"/>
    <w:rPr>
      <w:sz w:val="18"/>
    </w:rPr>
  </w:style>
  <w:style w:type="character" w:styleId="801">
    <w:name w:val="footnote reference"/>
    <w:basedOn w:val="648"/>
    <w:uiPriority w:val="99"/>
    <w:unhideWhenUsed/>
    <w:rPr>
      <w:vertAlign w:val="superscript"/>
    </w:rPr>
  </w:style>
  <w:style w:type="paragraph" w:styleId="802">
    <w:name w:val="endnote text"/>
    <w:basedOn w:val="638"/>
    <w:link w:val="803"/>
    <w:uiPriority w:val="99"/>
    <w:semiHidden/>
    <w:unhideWhenUsed/>
    <w:pPr>
      <w:spacing w:after="0" w:line="240" w:lineRule="auto"/>
    </w:pPr>
    <w:rPr>
      <w:sz w:val="20"/>
    </w:rPr>
  </w:style>
  <w:style w:type="character" w:styleId="803" w:customStyle="1">
    <w:name w:val="Текст концевой сноски Знак"/>
    <w:link w:val="802"/>
    <w:uiPriority w:val="99"/>
    <w:rPr>
      <w:sz w:val="20"/>
    </w:rPr>
  </w:style>
  <w:style w:type="character" w:styleId="804">
    <w:name w:val="endnote reference"/>
    <w:basedOn w:val="648"/>
    <w:uiPriority w:val="99"/>
    <w:semiHidden/>
    <w:unhideWhenUsed/>
    <w:rPr>
      <w:vertAlign w:val="superscript"/>
    </w:rPr>
  </w:style>
  <w:style w:type="paragraph" w:styleId="805">
    <w:name w:val="toc 1"/>
    <w:basedOn w:val="638"/>
    <w:next w:val="638"/>
    <w:uiPriority w:val="39"/>
    <w:unhideWhenUsed/>
    <w:pPr>
      <w:spacing w:after="57"/>
    </w:pPr>
  </w:style>
  <w:style w:type="paragraph" w:styleId="806">
    <w:name w:val="toc 2"/>
    <w:basedOn w:val="638"/>
    <w:next w:val="638"/>
    <w:uiPriority w:val="39"/>
    <w:unhideWhenUsed/>
    <w:pPr>
      <w:ind w:left="283"/>
      <w:spacing w:after="57"/>
    </w:pPr>
  </w:style>
  <w:style w:type="paragraph" w:styleId="807">
    <w:name w:val="toc 3"/>
    <w:basedOn w:val="638"/>
    <w:next w:val="638"/>
    <w:uiPriority w:val="39"/>
    <w:unhideWhenUsed/>
    <w:pPr>
      <w:ind w:left="567"/>
      <w:spacing w:after="57"/>
    </w:pPr>
  </w:style>
  <w:style w:type="paragraph" w:styleId="808">
    <w:name w:val="toc 4"/>
    <w:basedOn w:val="638"/>
    <w:next w:val="638"/>
    <w:uiPriority w:val="39"/>
    <w:unhideWhenUsed/>
    <w:pPr>
      <w:ind w:left="850"/>
      <w:spacing w:after="57"/>
    </w:pPr>
  </w:style>
  <w:style w:type="paragraph" w:styleId="809">
    <w:name w:val="toc 5"/>
    <w:basedOn w:val="638"/>
    <w:next w:val="638"/>
    <w:uiPriority w:val="39"/>
    <w:unhideWhenUsed/>
    <w:pPr>
      <w:ind w:left="1134"/>
      <w:spacing w:after="57"/>
    </w:pPr>
  </w:style>
  <w:style w:type="paragraph" w:styleId="810">
    <w:name w:val="toc 6"/>
    <w:basedOn w:val="638"/>
    <w:next w:val="638"/>
    <w:uiPriority w:val="39"/>
    <w:unhideWhenUsed/>
    <w:pPr>
      <w:ind w:left="1417"/>
      <w:spacing w:after="57"/>
    </w:pPr>
  </w:style>
  <w:style w:type="paragraph" w:styleId="811">
    <w:name w:val="toc 7"/>
    <w:basedOn w:val="638"/>
    <w:next w:val="638"/>
    <w:uiPriority w:val="39"/>
    <w:unhideWhenUsed/>
    <w:pPr>
      <w:ind w:left="1701"/>
      <w:spacing w:after="57"/>
    </w:pPr>
  </w:style>
  <w:style w:type="paragraph" w:styleId="812">
    <w:name w:val="toc 8"/>
    <w:basedOn w:val="638"/>
    <w:next w:val="638"/>
    <w:uiPriority w:val="39"/>
    <w:unhideWhenUsed/>
    <w:pPr>
      <w:ind w:left="1984"/>
      <w:spacing w:after="57"/>
    </w:pPr>
  </w:style>
  <w:style w:type="paragraph" w:styleId="813">
    <w:name w:val="toc 9"/>
    <w:basedOn w:val="638"/>
    <w:next w:val="638"/>
    <w:uiPriority w:val="39"/>
    <w:unhideWhenUsed/>
    <w:pPr>
      <w:ind w:left="2268"/>
      <w:spacing w:after="57"/>
    </w:pPr>
  </w:style>
  <w:style w:type="paragraph" w:styleId="814">
    <w:name w:val="TOC Heading"/>
    <w:uiPriority w:val="39"/>
    <w:unhideWhenUsed/>
  </w:style>
  <w:style w:type="paragraph" w:styleId="815">
    <w:name w:val="table of figures"/>
    <w:basedOn w:val="638"/>
    <w:next w:val="638"/>
    <w:uiPriority w:val="99"/>
    <w:unhideWhenUsed/>
    <w:pPr>
      <w:spacing w:after="0"/>
    </w:pPr>
  </w:style>
  <w:style w:type="paragraph" w:styleId="816" w:customStyle="1">
    <w:name w:val="ConsPlusNormal"/>
    <w:pPr>
      <w:spacing w:after="0" w:line="240" w:lineRule="auto"/>
      <w:widowControl w:val="off"/>
    </w:pPr>
    <w:rPr>
      <w:rFonts w:ascii="Calibri" w:hAnsi="Calibri" w:eastAsia="Times New Roman" w:cs="Calibri"/>
      <w:szCs w:val="20"/>
      <w:lang w:eastAsia="ru-RU"/>
    </w:rPr>
  </w:style>
  <w:style w:type="paragraph" w:styleId="817" w:customStyle="1">
    <w:name w:val="ConsPlusNonformat"/>
    <w:pPr>
      <w:spacing w:after="0" w:line="240" w:lineRule="auto"/>
      <w:widowControl w:val="off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818" w:customStyle="1">
    <w:name w:val="ConsPlusTitle"/>
    <w:pPr>
      <w:spacing w:after="0" w:line="240" w:lineRule="auto"/>
      <w:widowControl w:val="off"/>
    </w:pPr>
    <w:rPr>
      <w:rFonts w:ascii="Calibri" w:hAnsi="Calibri" w:eastAsia="Times New Roman" w:cs="Calibri"/>
      <w:b/>
      <w:szCs w:val="20"/>
      <w:lang w:eastAsia="ru-RU"/>
    </w:rPr>
  </w:style>
  <w:style w:type="paragraph" w:styleId="819" w:customStyle="1">
    <w:name w:val="ConsPlusCell"/>
    <w:pPr>
      <w:spacing w:after="0" w:line="240" w:lineRule="auto"/>
      <w:widowControl w:val="off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820" w:customStyle="1">
    <w:name w:val="ConsPlusDocList"/>
    <w:pPr>
      <w:spacing w:after="0" w:line="240" w:lineRule="auto"/>
      <w:widowControl w:val="off"/>
    </w:pPr>
    <w:rPr>
      <w:rFonts w:ascii="Calibri" w:hAnsi="Calibri" w:eastAsia="Times New Roman" w:cs="Calibri"/>
      <w:szCs w:val="20"/>
      <w:lang w:eastAsia="ru-RU"/>
    </w:rPr>
  </w:style>
  <w:style w:type="paragraph" w:styleId="821" w:customStyle="1">
    <w:name w:val="ConsPlusTitlePage"/>
    <w:pPr>
      <w:spacing w:after="0" w:line="240" w:lineRule="auto"/>
      <w:widowControl w:val="off"/>
    </w:pPr>
    <w:rPr>
      <w:rFonts w:ascii="Tahoma" w:hAnsi="Tahoma" w:eastAsia="Times New Roman" w:cs="Tahoma"/>
      <w:sz w:val="20"/>
      <w:szCs w:val="20"/>
      <w:lang w:eastAsia="ru-RU"/>
    </w:rPr>
  </w:style>
  <w:style w:type="paragraph" w:styleId="822" w:customStyle="1">
    <w:name w:val="ConsPlusJurTerm"/>
    <w:pPr>
      <w:spacing w:after="0" w:line="240" w:lineRule="auto"/>
      <w:widowControl w:val="off"/>
    </w:pPr>
    <w:rPr>
      <w:rFonts w:ascii="Tahoma" w:hAnsi="Tahoma" w:eastAsia="Times New Roman" w:cs="Tahoma"/>
      <w:sz w:val="26"/>
      <w:szCs w:val="20"/>
      <w:lang w:eastAsia="ru-RU"/>
    </w:rPr>
  </w:style>
  <w:style w:type="paragraph" w:styleId="823" w:customStyle="1">
    <w:name w:val="ConsPlusTextList"/>
    <w:pPr>
      <w:spacing w:after="0" w:line="240" w:lineRule="auto"/>
      <w:widowControl w:val="off"/>
    </w:pPr>
    <w:rPr>
      <w:rFonts w:ascii="Arial" w:hAnsi="Arial" w:eastAsia="Times New Roman" w:cs="Arial"/>
      <w:sz w:val="20"/>
      <w:szCs w:val="20"/>
      <w:lang w:eastAsia="ru-RU"/>
    </w:rPr>
  </w:style>
  <w:style w:type="paragraph" w:styleId="824" w:customStyle="1">
    <w:name w:val="Знак"/>
    <w:basedOn w:val="638"/>
    <w:pPr>
      <w:spacing w:after="160" w:line="240" w:lineRule="exact"/>
    </w:pPr>
    <w:rPr>
      <w:rFonts w:ascii="Verdana" w:hAnsi="Verdana" w:eastAsia="Times New Roman" w:cs="Times New Roman"/>
      <w:sz w:val="20"/>
      <w:szCs w:val="20"/>
      <w:lang w:val="en-US"/>
    </w:rPr>
  </w:style>
  <w:style w:type="character" w:styleId="825">
    <w:name w:val="Hyperlink"/>
    <w:basedOn w:val="648"/>
    <w:uiPriority w:val="99"/>
    <w:unhideWhenUsed/>
    <w:rPr>
      <w:color w:val="0000ff" w:themeColor="hyperlink"/>
      <w:u w:val="single"/>
    </w:rPr>
  </w:style>
  <w:style w:type="paragraph" w:styleId="826" w:customStyle="1">
    <w:name w:val="Знак"/>
    <w:basedOn w:val="638"/>
    <w:pPr>
      <w:spacing w:after="160" w:line="240" w:lineRule="exact"/>
    </w:pPr>
    <w:rPr>
      <w:rFonts w:ascii="Verdana" w:hAnsi="Verdana" w:eastAsia="Times New Roman" w:cs="Times New Roman"/>
      <w:sz w:val="20"/>
      <w:szCs w:val="20"/>
      <w:lang w:val="en-US"/>
    </w:rPr>
  </w:style>
  <w:style w:type="paragraph" w:styleId="827">
    <w:name w:val="Normal (Web)"/>
    <w:basedOn w:val="638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28">
    <w:name w:val="List Paragraph"/>
    <w:basedOn w:val="638"/>
    <w:uiPriority w:val="34"/>
    <w:qFormat/>
    <w:pPr>
      <w:contextualSpacing/>
      <w:ind w:left="720"/>
    </w:pPr>
  </w:style>
  <w:style w:type="paragraph" w:styleId="829">
    <w:name w:val="Header"/>
    <w:basedOn w:val="638"/>
    <w:link w:val="830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30" w:customStyle="1">
    <w:name w:val="Верхний колонтитул Знак"/>
    <w:basedOn w:val="648"/>
    <w:link w:val="829"/>
    <w:uiPriority w:val="99"/>
  </w:style>
  <w:style w:type="paragraph" w:styleId="831">
    <w:name w:val="Footer"/>
    <w:basedOn w:val="638"/>
    <w:link w:val="832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32" w:customStyle="1">
    <w:name w:val="Нижний колонтитул Знак"/>
    <w:basedOn w:val="648"/>
    <w:link w:val="831"/>
    <w:uiPriority w:val="99"/>
  </w:style>
  <w:style w:type="paragraph" w:styleId="833" w:customStyle="1">
    <w:name w:val=" Знак"/>
    <w:basedOn w:val="638"/>
    <w:pPr>
      <w:spacing w:after="160" w:line="240" w:lineRule="exact"/>
    </w:pPr>
    <w:rPr>
      <w:rFonts w:ascii="Verdana" w:hAnsi="Verdana" w:eastAsia="Times New Roman" w:cs="Times New Roman"/>
      <w:sz w:val="20"/>
      <w:szCs w:val="20"/>
      <w:lang w:val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B4451-05FD-4577-87A0-012596433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Сорочинская И. Л.</dc:creator>
  <cp:revision>7</cp:revision>
  <dcterms:created xsi:type="dcterms:W3CDTF">2024-02-26T14:24:00Z</dcterms:created>
  <dcterms:modified xsi:type="dcterms:W3CDTF">2024-02-28T07:30:01Z</dcterms:modified>
</cp:coreProperties>
</file>