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992" w:right="0" w:firstLine="0"/>
        <w:jc w:val="center"/>
        <w:spacing w:before="100" w:beforeAutospacing="1" w:after="100" w:afterAutospacing="1" w:line="240" w:lineRule="auto"/>
        <w:rPr>
          <w:rFonts w:ascii="PT Astra Serif" w:hAnsi="PT Astra Serif" w:cs="PT Astra Serif"/>
          <w:b/>
          <w:bCs/>
          <w:sz w:val="28"/>
          <w:szCs w:val="28"/>
        </w:rPr>
        <w:outlineLvl w:val="2"/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Сравнительный расчет издержек хозяйствующих субъектов </w:t>
      </w:r>
      <w:r>
        <w:rPr>
          <w:rFonts w:ascii="PT Astra Serif" w:hAnsi="PT Astra Serif" w:eastAsia="SimSun" w:cs="PT Astra Serif"/>
          <w:b/>
          <w:bCs/>
          <w:sz w:val="28"/>
          <w:szCs w:val="28"/>
        </w:rPr>
        <w:t xml:space="preserve">на предоставление геологической информации о недрах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Название требования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SimSun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SimSun" w:cs="PT Astra Serif"/>
          <w:sz w:val="28"/>
          <w:szCs w:val="28"/>
        </w:rPr>
        <w:t xml:space="preserve">Предоставление геологической информации о недрах (</w:t>
      </w:r>
      <w:r>
        <w:rPr>
          <w:rFonts w:ascii="PT Astra Serif" w:hAnsi="PT Astra Serif" w:eastAsia="SimSun" w:cs="PT Astra Serif"/>
          <w:sz w:val="28"/>
          <w:szCs w:val="28"/>
        </w:rPr>
        <w:t xml:space="preserve">первичная</w:t>
      </w:r>
      <w:r>
        <w:rPr>
          <w:rFonts w:ascii="PT Astra Serif" w:hAnsi="PT Astra Serif" w:eastAsia="SimSun" w:cs="PT Astra Serif"/>
          <w:sz w:val="28"/>
          <w:szCs w:val="28"/>
        </w:rPr>
        <w:t xml:space="preserve"> и интерпретированная) в отношении участков недр местного значения, полученная пользователем недр в фонд геологической информации Белгородской области.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Тип требования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Подготовка и предоставление геологической информации.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Тип элемента: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Геологическая информация о недрах, подготовленная заявителем, для направления в департамент агропромышленного комплекса и воспроизводства окружающей среды области.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Масштаб: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Количество субъектов предпринимательской деятельности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- 1114 ед.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/>
    </w:p>
    <w:p>
      <w:pPr>
        <w:ind w:left="-992" w:right="0" w:firstLine="0"/>
        <w:jc w:val="both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Частота: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1 раз в год </w:t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Style w:val="695"/>
        <w:tblW w:w="0" w:type="auto"/>
        <w:tblInd w:w="-877" w:type="dxa"/>
        <w:tblLayout w:type="fixed"/>
        <w:tblLook w:val="04A0" w:firstRow="1" w:lastRow="0" w:firstColumn="1" w:lastColumn="0" w:noHBand="0" w:noVBand="1"/>
      </w:tblPr>
      <w:tblGrid>
        <w:gridCol w:w="5494"/>
        <w:gridCol w:w="5352"/>
      </w:tblGrid>
      <w:tr>
        <w:trPr/>
        <w:tc>
          <w:tcPr>
            <w:tcW w:w="5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2020 г. (в соответствии с действующим нормативным регулированием)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2023 г. (в соответствии с данными мониторинга деятельности фонда)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lang w:eastAsia="ru-RU"/>
              </w:rPr>
              <w:t xml:space="preserve">Среднемесячная заработная плата по Белгородской области: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33850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41380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lang w:eastAsia="ru-RU"/>
              </w:rPr>
              <w:t xml:space="preserve">Средняя стоимость часа работы: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192,3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235,11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  <w:t xml:space="preserve">Трудозатраты на предоставление документов:</w:t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1) н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аписание 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заявления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 0,5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 чел./часа.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опирование документов (примерный перечень):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2) отчеты по геологическому изучению, поискам и разведке месторождений общераспространенных полезных ископаемых, прошедшие государственную регистрацию, выполненные пользователями недр за счет собственных средств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- 5 чел./часов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3) отчеты по геологическому изучению, поискам и разведке месторождений подземных вод, прошедшие государственную регистрацию, выполненные пользователями недр за счет собственных средств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- 5 чел./часов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4) лицензии на пользование участками недр местного значения                            на территории Белгородской области в целях добычи общераспространенных полезных ископаемых, действие которых закончено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- 0,5 чел./часа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5) лицензии на пользование участками недр местного значения в целях добычи подземных вод на территории Белгородской области, действие которых закончено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- 0,5 чел./часа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6) документация по проведению аукционов на право пользования участками недр местного значения на территории Белгородской области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- 1 чел/час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7) территориальные балансы запасов общераспространенных полезных ископаемых Белгородской области по видам полезных ископаемых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- 0,7 чел./часа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8) паспорта кадастров месторождений и проявлений общераспространенных полезных ископаемых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– 0,2 чел./часа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9) подача (пакета документов) в орган государственной власти - 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 чел./час.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  <w:t xml:space="preserve">Итого: 13,5 чел./часов</w:t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pStyle w:val="679"/>
              <w:numPr>
                <w:ilvl w:val="0"/>
                <w:numId w:val="3"/>
              </w:numPr>
              <w:ind w:left="0" w:right="-108" w:firstLine="0"/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написание зая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вления -0,2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 чел./часа.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Копирование документов (примерный перечень):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2) отчеты по геологическому изучению, поискам и разведке месторождений общераспространенных полезных ископаемых, прошедшие государственную регистрацию, выполненные пользователями недр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за счет собственных средств - 4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чел/часа;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3) отчеты по геологическому изучению, поискам и разведке месторождений подземных вод, прошедшие государственную регистрацию, выполненные пользователями недр за счет собственных средств - 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чел/часа;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4) документация по проведению аукционов на право пользования участками недр местного значения на территории Белгородской области - 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0,7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чел/часов;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841"/>
              <w:ind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5) территориальные балансы запасов общераспространенных полезных ископаемых Белгородской области по видам полезных ископаемых - 0,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чел/часа;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Подача (пакета документов) в орган государственной власти - 0,1 чел./час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  <w:t xml:space="preserve">Итого: 9,2 чел./часа</w:t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lang w:eastAsia="ru-RU"/>
              </w:rPr>
              <w:t xml:space="preserve">Затраты одного  </w:t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lang w:eastAsia="ru-RU"/>
              </w:rPr>
              <w:t xml:space="preserve">субъекта предпринимательской деятельности</w:t>
            </w:r>
            <w:r>
              <w:rPr>
                <w:rFonts w:ascii="PT Astra Serif" w:hAnsi="PT Astra Serif" w:eastAsia="Times New Roman" w:cs="PT Astra Serif"/>
                <w:b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54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(13,5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 чел/часов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*1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92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,3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 руб.)=2596,05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(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9,2 чел/часов*235,11 руб.)= 2163,01 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10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color w:val="ff0000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b/>
                <w:sz w:val="28"/>
                <w:szCs w:val="28"/>
                <w:lang w:eastAsia="ru-RU"/>
              </w:rPr>
              <w:t xml:space="preserve">Общая стоимость требования</w:t>
            </w:r>
            <w:r>
              <w:rPr>
                <w:rFonts w:ascii="PT Astra Serif" w:hAnsi="PT Astra Serif" w:eastAsia="Times New Roman" w:cs="PT Astra Serif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  <w:t xml:space="preserve">(2596,05*1114 ед.)=</w:t>
            </w:r>
            <w:r>
              <w:rPr>
                <w:rFonts w:ascii="PT Astra Serif" w:hAnsi="PT Astra Serif" w:eastAsia="Times New Roman" w:cs="PT Astra Serif"/>
                <w:b w:val="0"/>
                <w:bCs w:val="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b w:val="0"/>
                <w:bCs w:val="0"/>
                <w:sz w:val="28"/>
                <w:szCs w:val="28"/>
                <w:lang w:eastAsia="ru-RU"/>
              </w:rPr>
              <w:t xml:space="preserve">891,9 тыс.</w:t>
            </w:r>
            <w:r>
              <w:rPr>
                <w:rFonts w:ascii="PT Astra Serif" w:hAnsi="PT Astra Serif" w:eastAsia="Times New Roman" w:cs="PT Astra Serif"/>
                <w:b w:val="0"/>
                <w:bCs w:val="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346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(2163,01*1114 ед.)=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2409,6 тыс.руб.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41"/>
        <w:ind w:left="-992" w:right="0" w:firstLine="992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  <w:highlight w:val="white"/>
          <w:u w:val="single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 связи с внедрением в 2022 году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информационного ресурса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 сфере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недропользования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«АСЛН» исключена необходимость дублирования на бумажном носителе документов:</w:t>
      </w:r>
      <w:r>
        <w:rPr>
          <w:rFonts w:ascii="PT Astra Serif" w:hAnsi="PT Astra Serif" w:cs="PT Astra Serif"/>
          <w:sz w:val="28"/>
          <w:szCs w:val="28"/>
          <w:highlight w:val="white"/>
          <w:u w:val="single"/>
        </w:rPr>
      </w:r>
      <w:r/>
    </w:p>
    <w:p>
      <w:pPr>
        <w:pStyle w:val="841"/>
        <w:ind w:left="-992" w:right="0" w:firstLine="0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- паспорта кадастров месторождений и проявлений общераспространенных полезных ископаемых;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41"/>
        <w:ind w:left="-992" w:right="0" w:firstLine="0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- лицензии на пользование участками недр местного значения на территории Белгородской области в целях добычи общераспространенных полезных ископаемых, действие которых закончено;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41"/>
        <w:ind w:left="-992" w:right="0" w:firstLine="0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- лицензии на пользование участками недр местного значения в целях добычи подземных вод на территории Белгородской области, действие которых закончено.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-992" w:right="0" w:firstLine="0"/>
        <w:jc w:val="both"/>
        <w:spacing w:after="0" w:line="240" w:lineRule="auto"/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            Текущие затраты одного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субъекта предпринимательской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деятельности</w:t>
      </w:r>
      <w:r>
        <w:t xml:space="preserve">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сокращены на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433,04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руб.</w:t>
      </w:r>
      <w:r>
        <w:rPr>
          <w:rFonts w:ascii="PT Astra Serif" w:hAnsi="PT Astra Serif" w:cs="PT Astra Serif"/>
          <w:b/>
          <w:bCs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            </w:t>
      </w:r>
      <w:r>
        <w:rPr>
          <w:rFonts w:ascii="PT Astra Serif" w:hAnsi="PT Astra Serif" w:cs="PT Astra Serif"/>
          <w:b/>
          <w:color w:val="ff0000"/>
          <w:sz w:val="28"/>
          <w:szCs w:val="28"/>
        </w:rPr>
      </w:r>
      <w:r/>
    </w:p>
    <w:p>
      <w:pPr>
        <w:ind w:left="-992" w:right="0" w:firstLine="0"/>
        <w:spacing w:after="0" w:line="240" w:lineRule="auto"/>
        <w:rPr>
          <w:rFonts w:ascii="PT Astra Serif" w:hAnsi="PT Astra Serif" w:cs="PT Astra Serif"/>
          <w:b/>
          <w:bCs/>
          <w:color w:val="ff0000"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            Общая стоимость требования снизилась на 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482,3 тыс.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руб.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48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49">
    <w:name w:val="Title Char"/>
    <w:basedOn w:val="667"/>
    <w:link w:val="681"/>
    <w:uiPriority w:val="10"/>
    <w:rPr>
      <w:sz w:val="48"/>
      <w:szCs w:val="48"/>
    </w:rPr>
  </w:style>
  <w:style w:type="character" w:styleId="650">
    <w:name w:val="Subtitle Char"/>
    <w:basedOn w:val="667"/>
    <w:link w:val="683"/>
    <w:uiPriority w:val="11"/>
    <w:rPr>
      <w:sz w:val="24"/>
      <w:szCs w:val="24"/>
    </w:rPr>
  </w:style>
  <w:style w:type="character" w:styleId="651">
    <w:name w:val="Quote Char"/>
    <w:link w:val="685"/>
    <w:uiPriority w:val="29"/>
    <w:rPr>
      <w:i/>
    </w:rPr>
  </w:style>
  <w:style w:type="character" w:styleId="652">
    <w:name w:val="Intense Quote Char"/>
    <w:link w:val="687"/>
    <w:uiPriority w:val="30"/>
    <w:rPr>
      <w:i/>
    </w:rPr>
  </w:style>
  <w:style w:type="character" w:styleId="653">
    <w:name w:val="Header Char"/>
    <w:basedOn w:val="667"/>
    <w:link w:val="689"/>
    <w:uiPriority w:val="99"/>
  </w:style>
  <w:style w:type="character" w:styleId="654">
    <w:name w:val="Caption Char"/>
    <w:basedOn w:val="693"/>
    <w:link w:val="691"/>
    <w:uiPriority w:val="99"/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57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7"/>
    <w:next w:val="65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7"/>
    <w:link w:val="681"/>
    <w:uiPriority w:val="10"/>
    <w:rPr>
      <w:sz w:val="48"/>
      <w:szCs w:val="48"/>
    </w:rPr>
  </w:style>
  <w:style w:type="paragraph" w:styleId="683">
    <w:name w:val="Subtitle"/>
    <w:basedOn w:val="657"/>
    <w:next w:val="65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7"/>
    <w:link w:val="683"/>
    <w:uiPriority w:val="11"/>
    <w:rPr>
      <w:sz w:val="24"/>
      <w:szCs w:val="24"/>
    </w:rPr>
  </w:style>
  <w:style w:type="paragraph" w:styleId="685">
    <w:name w:val="Quote"/>
    <w:basedOn w:val="657"/>
    <w:next w:val="657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7"/>
    <w:next w:val="657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7"/>
    <w:link w:val="689"/>
    <w:uiPriority w:val="99"/>
  </w:style>
  <w:style w:type="paragraph" w:styleId="691">
    <w:name w:val="Footer"/>
    <w:basedOn w:val="65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7"/>
    <w:uiPriority w:val="99"/>
  </w:style>
  <w:style w:type="paragraph" w:styleId="693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5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9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9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3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8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2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2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6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6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0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7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7"/>
    <w:uiPriority w:val="99"/>
    <w:unhideWhenUsed/>
    <w:rPr>
      <w:vertAlign w:val="superscript"/>
    </w:rPr>
  </w:style>
  <w:style w:type="paragraph" w:styleId="825">
    <w:name w:val="endnote text"/>
    <w:basedOn w:val="657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7"/>
    <w:uiPriority w:val="99"/>
    <w:semiHidden/>
    <w:unhideWhenUsed/>
    <w:rPr>
      <w:vertAlign w:val="superscript"/>
    </w:rPr>
  </w:style>
  <w:style w:type="paragraph" w:styleId="828">
    <w:name w:val="toc 1"/>
    <w:basedOn w:val="657"/>
    <w:next w:val="657"/>
    <w:uiPriority w:val="39"/>
    <w:unhideWhenUsed/>
    <w:pPr>
      <w:spacing w:after="57"/>
    </w:pPr>
  </w:style>
  <w:style w:type="paragraph" w:styleId="829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30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31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2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3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4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5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6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7"/>
    <w:next w:val="657"/>
    <w:uiPriority w:val="99"/>
    <w:unhideWhenUsed/>
    <w:pPr>
      <w:spacing w:after="0"/>
    </w:pPr>
  </w:style>
  <w:style w:type="paragraph" w:styleId="839" w:customStyle="1">
    <w:name w:val="ConsPlusNormal"/>
    <w:link w:val="840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40" w:customStyle="1">
    <w:name w:val="ConsPlusNormal Знак"/>
    <w:link w:val="839"/>
    <w:rPr>
      <w:rFonts w:ascii="Arial" w:hAnsi="Arial" w:cs="Arial"/>
      <w:sz w:val="20"/>
      <w:szCs w:val="20"/>
    </w:rPr>
  </w:style>
  <w:style w:type="paragraph" w:styleId="841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2023-08-22T11:11:00Z</dcterms:created>
  <dcterms:modified xsi:type="dcterms:W3CDTF">2023-08-22T13:17:36Z</dcterms:modified>
</cp:coreProperties>
</file>