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Департамент устойчивого развития сельских территорий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министерства сельского хозяйства и продовольствия Белгородской области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 и наименование проекта нормативного правового акта: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Проект постановления Правительства Белгородской области «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Об утверждении порядка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предоставления субсидий из областного бюджета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»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начало: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апреля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24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.;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окончание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мая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24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Средняя.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Проект нормативного правового акта содержит положения, расширяющие ранее предусмотренный перечень предоставления мер поддержки малым формам хозяйствования.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 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Пояркова Ирина Игоревна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консультант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 отдела развития потребкооперации и мониторинга показателей малых форм</w:t>
      </w:r>
      <w:bookmarkStart w:id="1" w:name="_GoBack"/>
      <w:r/>
      <w:bookmarkEnd w:id="1"/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 хозяйствования департамента устойчивого развития сельских территорий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(4722) 24-76-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48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Адрес электронной почты: 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val="en-US"/>
        </w:rPr>
        <w:t xml:space="preserve">poyarkova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@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val="en-US"/>
        </w:rPr>
        <w:t xml:space="preserve">belapk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 xml:space="preserve">.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  <w:lang w:val="en-US"/>
        </w:rPr>
        <w:t xml:space="preserve">ru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Н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еобходимость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оптимизации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процедуры проведени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я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отбора по предоставлению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субсидий из областного бюджета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(электронное предоставление заявочной документации)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2.2. Информация о возникновении и выявлении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М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ониторинг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федерального законодательства, а также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антикризисных мер в сельскохозяйственном секторе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региона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  <w:lang w:bidi="en-US"/>
        </w:rPr>
        <w:t xml:space="preserve">мониторинг обеспеченности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  <w:lang w:bidi="en-US"/>
        </w:rPr>
        <w:t xml:space="preserve">личных подсобных хозяйств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  <w:lang w:bidi="en-US"/>
        </w:rPr>
        <w:t xml:space="preserve">финансовыми ресурсами для производства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  <w:lang w:bidi="en-US"/>
        </w:rPr>
        <w:t xml:space="preserve">картофеля и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  <w:lang w:bidi="en-US"/>
        </w:rPr>
        <w:t xml:space="preserve">овощей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  <w:lang w:bidi="en-US"/>
        </w:rPr>
        <w:t xml:space="preserve">открытого грунта.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2.3. 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Негативные эффекты, возникающие в связи с наличием рассматриваемой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- невозможность получения федерального финансирования на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возмещение части затрат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, связанных с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производством картофеля и овощей открытого грунта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утверждения регионал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ьного нормативно-правового акта.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2.4</w:t>
      </w:r>
      <w:r>
        <w:rPr>
          <w:rFonts w:ascii="Times New Roman" w:hAnsi="Times New Roman" w:eastAsia="Calibri" w:cs="Times New Roman"/>
          <w:sz w:val="26"/>
          <w:szCs w:val="26"/>
        </w:rPr>
        <w:t xml:space="preserve">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деятельности:*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Анализ опыта иных субъектов Российской Федерации показал, что органами исполнительной власти всех субъектов Российской Федерации ведутся работы по принятию аналогичных порядков предоставления государственной поддержки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личным подсобны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м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хозяйствам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производство картофеля и овощей открытого грунта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 Описание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Создание оптимальных условий для приема заявочной документации на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отбор по предоставлению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субсидии из областного бюджета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- электронное предоставление заявочной документации;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отсутствие необходимости предоставления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документов и информации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,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подтвержд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ающих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соответстви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е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заявителя требованиям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0"/>
          <w:szCs w:val="20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Проект нормативного правового акта разработан в соответствии с пунктом 1 статьи 78, статьей 78.5 Бюджетного кодекса Российской Федерации, Государственной программой развития сельского хозяйства и регулирования рынков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сельскохозяйственной продукции, сырья и продовольствия, утвержденной Постановлением Правительства Российской Федерации от 14 июля 2012 года № 717, правилами отбора получателей субсидий, в том числе грантов в форме субсидий, предоставляемых из бюджетов бюд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года № 1781,  общими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 октября 2023 года № 1782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  <w:lang w:val="en-US"/>
        </w:rPr>
        <w:t xml:space="preserve">II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квартал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2024 года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</w:t>
      </w:r>
      <w:r>
        <w:rPr>
          <w:rFonts w:ascii="Times New Roman" w:hAnsi="Times New Roman" w:eastAsia="Calibri" w:cs="Times New Roman"/>
          <w:sz w:val="26"/>
          <w:szCs w:val="26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Иная информация о целях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0"/>
          <w:szCs w:val="20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Отсутствует.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/>
          <w:bCs/>
          <w:i/>
          <w:sz w:val="28"/>
          <w:szCs w:val="28"/>
          <w:highlight w:val="none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Проектом нормативного правового акта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утверждается порядок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предоставления субсидии из областного бюджета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алоговый режим «Налог на профессиональный доход». В новом порядке:</w:t>
      </w:r>
      <w:r>
        <w:rPr>
          <w:rFonts w:ascii="Times New Roman" w:hAnsi="Times New Roman" w:eastAsia="Calibri" w:cs="Times New Roman"/>
          <w:i/>
          <w:sz w:val="28"/>
          <w:szCs w:val="28"/>
          <w:highlight w:val="none"/>
          <w:u w:val="single"/>
        </w:rPr>
        <w:t xml:space="preserve">            </w:t>
      </w:r>
      <w:r>
        <w:rPr>
          <w:rFonts w:ascii="Times New Roman" w:hAnsi="Times New Roman" w:eastAsia="Calibri" w:cs="Times New Roman"/>
          <w:bCs/>
          <w:i/>
          <w:sz w:val="28"/>
          <w:szCs w:val="28"/>
          <w:highlight w:val="none"/>
          <w:u w:val="single"/>
        </w:rPr>
      </w:r>
      <w:r>
        <w:rPr>
          <w:rFonts w:ascii="Times New Roman" w:hAnsi="Times New Roman" w:eastAsia="Calibri" w:cs="Times New Roman"/>
          <w:i/>
          <w:iCs/>
          <w:sz w:val="28"/>
          <w:szCs w:val="28"/>
          <w:u w:val="none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скорректированы требования к заявителю для участия в отборе на предоставление субсидии;</w:t>
      </w:r>
      <w:r>
        <w:rPr>
          <w:rFonts w:ascii="Times New Roman" w:hAnsi="Times New Roman" w:cs="Times New Roman"/>
          <w:i/>
          <w:iCs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предусмотрена возможность формирования заявок участниками отбора в электронной форме посредством заполнения соответствующих экранных форм веб-интерфейса системы «Электронный бюджет» с приложением электронных копий документов в соответствии с требованиями, установленными в объявлении о проведении отбора;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расширен перечень затрат, которые заявитель может представить на возмещение;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предусмотрена возможность возмещения до 100 % понесенных расходов.</w:t>
      </w:r>
      <w:r>
        <w:rPr>
          <w:rFonts w:ascii="Times New Roman" w:hAnsi="Times New Roman" w:cs="Times New Roman"/>
          <w:bCs/>
          <w:i/>
          <w:sz w:val="28"/>
          <w:szCs w:val="28"/>
        </w:rPr>
      </w:r>
      <w:r/>
      <w:r>
        <w:rPr>
          <w:rFonts w:ascii="Times New Roman" w:hAnsi="Times New Roman" w:cs="Times New Roman"/>
          <w:bCs/>
          <w:i/>
          <w:sz w:val="28"/>
          <w:szCs w:val="28"/>
          <w:highlight w:val="none"/>
          <w:u w:val="singl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4.2. Альтернативные варианты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Приобретение необходимого инвентаря, семенно-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посадочного материала, средств защиты растений и т.д.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за счет собственных либо заемных средств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4.3. 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Обоснование выбора предлагаемого способа решения проблемы</w:t>
      </w:r>
      <w:r>
        <w:rPr>
          <w:rFonts w:ascii="Times New Roman" w:hAnsi="Times New Roman" w:eastAsia="Calibri" w:cs="Times New Roman"/>
          <w:sz w:val="26"/>
          <w:szCs w:val="26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Предпочтительным вариантом решения проблемы считаем принятие постановления Правительства Белгородской области,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утверждающего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порядок предоставления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субсидии на возмещение части затрат на поддержку производства картофеля и овощей открытого грунта гражданам, ведущим личное подсобное хозяйство и применяющих специальный налоговый режим «Налог на профессиональный доход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»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Утверждение предложенного порядка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позволит создать оптимальные условия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для получения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личными подсобными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хозяйст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вами государственной поддержки на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возмещение части затрат на производство картофеля и овощей открытого грунта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Данное нормативное правовое регулирование позволит снизить финансовую нагрузку на хозяйствующие субъекты, будет способствовать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их развитию и 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повышению заинтересованности личных подсобных хозяйст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в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к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 увеличению производства сельскохозяйственной продукции</w:t>
      </w:r>
      <w:r>
        <w:rPr>
          <w:rFonts w:ascii="Times New Roman" w:hAnsi="Times New Roman" w:eastAsia="Calibri" w:cs="Times New Roman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Граждане ведущие личное подсобное хозяйство и применяющие специальный налоговый режим «Налог на професс</w:t>
            </w: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иональный доход»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40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4674"/>
        <w:gridCol w:w="255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ind w:right="57" w:firstLine="0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Граждане ведущие личное подсобное хозяйство и применяющие специальный налоговый режим «Налог на профессиональный доход»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4" w:type="dxa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  <w:u w:val="single"/>
              </w:rPr>
              <w:t xml:space="preserve">Преимущества: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  <w:highlight w:val="none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возможность формирования заявок участниками отбора в электронной форме;</w:t>
            </w: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  <w:highlight w:val="none"/>
              </w:rPr>
            </w:r>
          </w:p>
          <w:p>
            <w:pPr>
              <w:ind w:right="57" w:firstLine="0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- упрощение процедуры проведение отбора по </w:t>
            </w: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предоставлению 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 субсидии;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</w:r>
            <w:r/>
          </w:p>
          <w:p>
            <w:pPr>
              <w:ind w:right="57" w:firstLine="0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- отсутствие необходимости предоставл</w:t>
            </w: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ения документов и информации, подтверждающих соответствие заявителя требованиям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</w:t>
            </w:r>
            <w:r/>
          </w:p>
          <w:p>
            <w:pPr>
              <w:ind w:right="57" w:firstLine="0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- увеличение суммы компенсации до 100 %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субсидии исчисляется по ставкам на 1 тонну реализованных картофеля и (или) овощей открытого грунта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, исходя из лимитов бюджетных средств, но не более 100% осуществленных заявителем расходов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 (предполагаемые ставки на 2024 год: картофель –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 10,83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;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вощи -  18,133) 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.</w:t>
            </w:r>
            <w:r/>
          </w:p>
        </w:tc>
      </w:tr>
      <w:tr>
        <w:trPr>
          <w:cantSplit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Merge w:val="continue"/>
            <w:textDirection w:val="lrTb"/>
            <w:noWrap w:val="false"/>
          </w:tcPr>
          <w:p>
            <w:pPr>
              <w:ind w:right="57" w:firstLine="537"/>
              <w:jc w:val="both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4" w:type="dxa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  <w:u w:val="single"/>
              </w:rPr>
              <w:t xml:space="preserve">Обязанности:</w:t>
            </w:r>
            <w:r>
              <w:rPr>
                <w:u w:val="single"/>
              </w:rPr>
            </w:r>
          </w:p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предоставление пакета документов, необходимых для участия в отборе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Общая стоимость требования</w:t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112 84</w:t>
            </w: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Calibri" w:cs="Times New Roman"/>
                <w:i/>
                <w:iCs/>
                <w:sz w:val="28"/>
                <w:szCs w:val="28"/>
              </w:rPr>
              <w:t xml:space="preserve"> руб.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изменении:*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Функции министерства будут осуществляться в рамках ранее установленных полномочий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трудозатраты                        не потребуются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Оценка расходов (возможных поступлений) консолидированного бюджета Белгородской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области:*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отбора, подготовка документов для выдачи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 2024 год 7751,97369 тыс.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 2025 год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6478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78378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 </w:t>
            </w:r>
            <w:r/>
          </w:p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 2026 год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8503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4375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обязательные требования проектом нормативного правового акта не предусмотрены.</w:t>
      </w:r>
      <w:r>
        <w:rPr>
          <w:rFonts w:ascii="Times New Roman" w:hAnsi="Times New Roman" w:eastAsia="Calibri" w:cs="Times New Roman"/>
          <w:i/>
          <w:iCs/>
          <w:sz w:val="28"/>
          <w:szCs w:val="28"/>
          <w:u w:val="single"/>
        </w:rPr>
      </w:r>
      <w:r>
        <w:rPr>
          <w:i/>
          <w:i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Снижение количества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заявок на участие в отборе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ероятно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Мониторинг поданных заявок;</w:t>
            </w:r>
            <w:r>
              <w:rPr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Поквартальная форма отчётности</w:t>
            </w:r>
            <w:r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  <w:lang w:eastAsia="ru-RU"/>
              </w:rPr>
              <w:t xml:space="preserve">Министерство сельского хозяйства и продовольствия Белгородской </w:t>
            </w:r>
            <w:r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  <w:lang w:eastAsia="ru-RU"/>
              </w:rPr>
              <w:t xml:space="preserve">области</w:t>
            </w:r>
            <w:r>
              <w:rPr>
                <w:rFonts w:ascii="Times New Roman" w:hAnsi="Times New Roman" w:eastAsia="Calibri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  <w:lang w:eastAsia="ru-RU"/>
              </w:rPr>
              <w:t xml:space="preserve">(</w:t>
            </w:r>
            <w:r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  <w:lang w:eastAsia="ru-RU"/>
              </w:rPr>
              <w:t xml:space="preserve">отчет о финансово-экономическом состоянии и достижения значений </w:t>
            </w:r>
            <w:r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  <w:lang w:eastAsia="ru-RU"/>
              </w:rPr>
              <w:t xml:space="preserve">показателей результативности</w:t>
            </w:r>
            <w:r>
              <w:rPr>
                <w:rFonts w:ascii="Times New Roman" w:hAnsi="Times New Roman" w:eastAsia="Calibri" w:cs="Times New Roman"/>
                <w:bCs/>
                <w:i/>
                <w:sz w:val="28"/>
                <w:szCs w:val="28"/>
                <w:lang w:eastAsia="ru-RU"/>
              </w:rPr>
              <w:t xml:space="preserve">)</w:t>
            </w: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tbl>
      <w:tblPr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701"/>
        <w:gridCol w:w="1701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обучающих семинаров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нформирование населения о мерах поддержки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ониторинг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количества потенциальных участников отбора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Размещение информации о принятии постановления Правительства Белгородской области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внесенных изменениях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ведомства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belapk.ru 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на едином портале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2024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126"/>
        <w:gridCol w:w="2689"/>
        <w:gridCol w:w="2263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5 лет)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ind w:firstLine="22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Количество ЛПХ,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 получивших субсидию на производство картофеля и овощей открытого грунта</w:t>
            </w:r>
            <w:r>
              <w:rPr>
                <w:sz w:val="26"/>
                <w:szCs w:val="26"/>
              </w:rPr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  <w:lang w:eastAsia="ru-RU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Не менее 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40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 ед.</w:t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sz w:val="26"/>
                <w:szCs w:val="26"/>
                <w:lang w:eastAsia="ru-RU"/>
              </w:rPr>
              <w:t xml:space="preserve">По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sz w:val="26"/>
                <w:szCs w:val="26"/>
                <w:lang w:eastAsia="ru-RU"/>
              </w:rPr>
              <w:t xml:space="preserve">квартальная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sz w:val="26"/>
                <w:szCs w:val="26"/>
                <w:lang w:eastAsia="ru-RU"/>
              </w:rPr>
              <w:t xml:space="preserve">форм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sz w:val="26"/>
                <w:szCs w:val="26"/>
                <w:lang w:eastAsia="ru-RU"/>
              </w:rPr>
              <w:t xml:space="preserve">а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sz w:val="26"/>
                <w:szCs w:val="26"/>
                <w:lang w:eastAsia="ru-RU"/>
              </w:rPr>
              <w:t xml:space="preserve"> отчётности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Министерство сельского хозяйства и продовольствия Белгородской 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области</w:t>
            </w:r>
            <w:r>
              <w:rPr>
                <w:rFonts w:ascii="Times New Roman" w:hAnsi="Times New Roman" w:eastAsia="Calibri" w:cs="Times New Roman"/>
                <w:bCs/>
                <w:i/>
                <w:color w:val="c0504d" w:themeColor="accent2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(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отчет о финансово-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экономическом состоянии и достижения значений показателей результативности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)</w:t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vAlign w:val="top"/>
            <w:textDirection w:val="lrTb"/>
            <w:noWrap w:val="false"/>
          </w:tcPr>
          <w:p>
            <w:pPr>
              <w:ind w:firstLine="21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П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о состоянию на 1 января года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, следующего за годом получения меры государственной поддержки</w:t>
            </w:r>
            <w:r>
              <w:rPr>
                <w:rFonts w:ascii="Times New Roman" w:hAnsi="Times New Roman" w:eastAsia="Calibri" w:cs="Times New Roman"/>
                <w:bCs/>
                <w:i/>
                <w:sz w:val="26"/>
                <w:szCs w:val="26"/>
                <w:lang w:eastAsia="ru-RU"/>
              </w:rPr>
              <w:t xml:space="preserve">)</w:t>
            </w:r>
            <w:r>
              <w:rPr>
                <w:sz w:val="26"/>
                <w:szCs w:val="26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>
        <w:rPr>
          <w:rFonts w:ascii="Times New Roman" w:hAnsi="Times New Roman" w:eastAsia="Calibri" w:cs="Times New Roman"/>
          <w:i/>
          <w:sz w:val="26"/>
          <w:szCs w:val="26"/>
          <w:lang w:val="en-US"/>
        </w:rPr>
        <w:t xml:space="preserve">II</w:t>
      </w:r>
      <w:r>
        <w:rPr>
          <w:rFonts w:ascii="Times New Roman" w:hAnsi="Times New Roman" w:eastAsia="Calibri" w:cs="Times New Roman"/>
          <w:i/>
          <w:sz w:val="26"/>
          <w:szCs w:val="26"/>
        </w:rPr>
        <w:t xml:space="preserve"> квартал</w:t>
      </w:r>
      <w:r>
        <w:rPr>
          <w:rFonts w:ascii="Times New Roman" w:hAnsi="Times New Roman" w:eastAsia="Calibri" w:cs="Times New Roman"/>
          <w:i/>
          <w:sz w:val="26"/>
          <w:szCs w:val="26"/>
        </w:rPr>
        <w:t xml:space="preserve"> 20</w:t>
      </w:r>
      <w:r>
        <w:rPr>
          <w:rFonts w:ascii="Times New Roman" w:hAnsi="Times New Roman" w:eastAsia="Calibri" w:cs="Times New Roman"/>
          <w:i/>
          <w:sz w:val="26"/>
          <w:szCs w:val="26"/>
        </w:rPr>
        <w:t xml:space="preserve">24</w:t>
      </w:r>
      <w:r>
        <w:rPr>
          <w:rFonts w:ascii="Times New Roman" w:hAnsi="Times New Roman" w:eastAsia="Calibri" w:cs="Times New Roman"/>
          <w:i/>
          <w:sz w:val="26"/>
          <w:szCs w:val="26"/>
        </w:rPr>
        <w:t xml:space="preserve"> г.</w:t>
      </w:r>
      <w:r/>
    </w:p>
    <w:sectPr>
      <w:footnotePr/>
      <w:endnotePr/>
      <w:type w:val="nextPage"/>
      <w:pgSz w:w="11906" w:h="16838" w:orient="portrait"/>
      <w:pgMar w:top="567" w:right="566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03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04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605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06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07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608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609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10" w:customStyle="1">
    <w:name w:val="Знак"/>
    <w:basedOn w:val="598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18</cp:revision>
  <dcterms:created xsi:type="dcterms:W3CDTF">2024-04-22T14:57:00Z</dcterms:created>
  <dcterms:modified xsi:type="dcterms:W3CDTF">2024-04-26T09:33:57Z</dcterms:modified>
</cp:coreProperties>
</file>