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</w:r>
      <w:bookmarkStart w:id="0" w:name="P439"/>
      <w:r>
        <w:rPr>
          <w:rFonts w:ascii="Liberation Serif" w:hAnsi="Liberation Serif" w:eastAsia="Liberation Serif" w:cs="Liberation Serif"/>
          <w:sz w:val="26"/>
          <w:szCs w:val="26"/>
        </w:rPr>
      </w:r>
      <w:bookmarkEnd w:id="0"/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Сводный отчет</w:t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проекта нормативного правового акта</w:t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  <w:lang w:eastAsia="ru-RU"/>
        </w:rPr>
        <w:t xml:space="preserve">1. Общая информация: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1.1. Орган-разработчик: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управление государственного жилищного надзора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2. Вид и наименование проекта нормативного правового акта: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проект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Правительства Белгородской области «О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430-пп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b w:val="0"/>
          <w:bCs w:val="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нормативного правового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акта: начало: «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21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 июля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2025 г.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, окончание «1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 августа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2025 г.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1.4.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Степень регулирующего воздействия проекта нормативного правового акта: 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средняя.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Проект нормативного правового акта содержит положения по изменению ор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  <w:lang w:eastAsia="en-US"/>
        </w:rPr>
        <w:t xml:space="preserve">ганизации проведения профилактических и контрольных (надзорных) мероприятий при осуществлении регионального лицензионного контроля.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1.5. Контактная инф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ормация об исполнителе в органе-разработчике: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Ф.И.О.: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Бочарникова Екатерина Николаевна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Должность: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начальник отдела правового обеспечения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 и административного производства управления государственного жилищного надзора Белгородской области,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Тел.: 8 (4722) 34-69-37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 Адрес электронной почты: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2.1. Проблема, на решение которой направлен предлагаемый спосо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б правового регулирования: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Проект нормативного акта направлен на улучшение качества 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системы специальных полномочий по осуществлению регионального лицензионного контроля Белгородской области, которое приведено в соответствие с действующими нормативными правовыми актами 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лицензионного контроля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2.2. Информация о возникновении и выявлении проблемы: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В ходе проведенного анализа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Федерального закона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от 31 июля 2020 года</w:t>
        <w:br/>
        <w:t xml:space="preserve">№ 248-ФЗ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«О государственном контроле (надзоре) и муниципальном контроле</w:t>
        <w:br/>
        <w:t xml:space="preserve">в Российской Федерации»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 было установлено о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тсутствие на региональном уровне эффективной системы специальных полномочий по осуществлению регионального лицензионного контроля Белгородской области, которое будет приведено</w:t>
        <w:br/>
        <w:t xml:space="preserve">в соответствие с действующими федеральными нормативными правовыми актами</w:t>
        <w:br/>
        <w:t xml:space="preserve">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лицензионного контроля</w:t>
        <w:br/>
        <w:t xml:space="preserve">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2.3. Негативные эффекты, возникающие в связи с наличием рассматриваемой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проблемы: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Отсутствие актуальной системы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лицензионного контроля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Liberation Serif" w:hAnsi="Liberation Serif" w:eastAsia="Liberation Serif" w:cs="Liberation Serif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В настоящее время в Санкт-Петербурге, Республики Алтай, Татарстан, Волгоградской, Калининградской, Омской области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утверждены положения</w:t>
        <w:br/>
        <w:t xml:space="preserve">о региональном лицензионном контроле.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3.Цели вводимого правового регулирования и измеримые показатели</w:t>
        <w:br/>
        <w:t xml:space="preserve">их достижения: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3.1. Описа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ние целей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Создание результативной и эффективной системы 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</w:t>
        <w:br/>
        <w:t xml:space="preserve">и осуществлению регионального лицензионного контроля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3.2. Обоснование соответствия целей предлагаемого правового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регулирования принципам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постановление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октябрь 2025 год.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3.4.</w:t>
      </w:r>
      <w:r>
        <w:rPr>
          <w:rFonts w:ascii="Liberation Serif" w:hAnsi="Liberation Serif" w:eastAsia="Liberation Serif" w:cs="Liberation Serif"/>
          <w:sz w:val="26"/>
          <w:szCs w:val="26"/>
          <w:lang w:val="en-US"/>
        </w:rPr>
        <w:t xml:space="preserve">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Отсутствует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contextualSpacing/>
        <w:ind w:left="709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ru-RU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contextualSpacing/>
        <w:ind w:left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 Описание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  <w:shd w:val="clear" w:color="auto" w:fill="ffffff"/>
        </w:rPr>
        <w:t xml:space="preserve">Проектом постановления вносятся изменения в Положение о региональном лицензионном контроле на территории Белгородской области: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ю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ч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ж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плановых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-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ы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х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й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 объектов контроля среднего и умеренного риска;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zh-CN"/>
        </w:rPr>
        <w:t xml:space="preserve">- для объектов, отнесенных к высокой категории риска, установлена периодичность плановых контрольно-надзорных мероприятий и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для объектов контроля, отнесенных к категории среднего и умеренного риска, предусмотрено проведение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положения, регламентирующие проведение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основания для проведения контрольно-надзорных мероприятий;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контрольно-надзорные мероприятия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 проводятся только после согласования с органами прокуратуры;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контрольные (надзорные) действия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могут осуществляться 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сроки рассмотрения жалоб: на действия (бездействия) - 15 рабочих дней, об отнесении объекта к категории риска - 5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31"/>
        <w:ind w:firstLine="709"/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W w:w="0" w:type="auto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cantSplit w:val="false"/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Предлагаемое регулирование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Альтернативный вариант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решения проблемы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  <w:t xml:space="preserve">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ю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ж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среднего и умеренного риска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  <w:t xml:space="preserve">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высокого среднего</w:t>
              <w:br/>
              <w:t xml:space="preserve">и умеренного риска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Форма проведения контрольно-надзорных мероприятий: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контрольные (надзорные) действия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могут осуществляться 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с согласованием органами прокуратуры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Ф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орма проведения контрольно-надзорных мероприятий: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6"/>
                <w:szCs w:val="26"/>
                <w:lang w:eastAsia="zh-CN"/>
              </w:rPr>
              <w:t xml:space="preserve">проводится по местонахождению (месту осуществления деятельности) контролируемого лица (его филиалов, представительств, обособленных структурных подразделений) без согласования с органами прокуратуры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рассмотрения жалобы на действия (бездействия) должностных лиц: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срок рассмотрения жалоб на действия (бездействия) - 15 рабочих дней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рассмотрения жалобы на действия (бездействия) должностных лиц: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срок рассмотрения жалоб на действия (бездействия) - 20 рабочих дней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Таким образом,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утверждение постановления Правительства Белгородской области с указными изменениями является наиболее современным подходом</w:t>
        <w:br/>
        <w:t xml:space="preserve">в организации регионального лицензионного контроля.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4.3. Обоснование выбора предлагаемого способа решения проблемы: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Предпочтительным вариантом решения проблемы управление государственного жилищного надзора Белгородской области считает утверждение проекта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Правительства Белгородской области «О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430-пп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Указанный вариант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позволит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актуализировать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порядок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организации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4.4.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Г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руппа участников отношений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юридические лица, индивидуальные предприниматели, осуществляющие предпринимательскую деятельность по управлению многоквартирными домами на основании лицензии, лицензионных требований, установленных в соответствии со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статьей 193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Жилищного кодекса Российской Федерации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Количество лицензиатов - 140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br/>
        <w:t xml:space="preserve">и преи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овым регулированием: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60"/>
        <w:gridCol w:w="2893"/>
        <w:gridCol w:w="3826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Группа участников отношений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 </w:t>
              <w:br/>
              <w:t xml:space="preserve">и ограничений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Оценка изменения расходов/доходов,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издержек/выгод,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тыс. руб.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юридические лица, индивидуальные предприниматели, осуществляющие предпринимательскую деятельность по управлению многоквартирными домами на основании лицензии, лицензионных требований, установленных в соответствии со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статьей 193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Жилищного кодекса Российской Федерации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Преимущества: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ю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ж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среднего и умеренного риска;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положения, регламентирующие проведение профилактических визитов;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основания для проведения контрольно-надзорных мероприятий;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контрольно-надзорные мероприятия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 проводятся только после согласования с органами прокуратуры;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contextualSpacing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сроки рассмотрения жалоб: на действия (бездействия) - 15 рабочих дней, об отнесении объекта к категории риска - 5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рабочих дней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Обязанности: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предоставление информации и документов необходимых для проведения плановых контрольно-надзорных мероприятий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t xml:space="preserve">Общая стоимость трудозатрат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t xml:space="preserve">на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</w:rPr>
              <w:t xml:space="preserve">редоставление пакета документов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364,2 тыс.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 руб.</w:t>
            </w:r>
            <w:r/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Плановые контрольные (надзорные) мероприятия в отношении объектов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, отнесенных к категории высокого риска, проводятся один раз в два года.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081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Наименование органа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или прав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pStyle w:val="638"/>
              <w:contextualSpacing w:val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Региональный лицензионный контроль будет осуществляться УГЖН Белгородской области</w:t>
              <w:br/>
              <w:t xml:space="preserve">в рамках установленных полномочий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</w:rPr>
              <w:t xml:space="preserve">Дополнительные трудозатраты</w:t>
              <w:br/>
              <w:t xml:space="preserve">не потребуются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973"/>
        <w:gridCol w:w="2976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тыс. руб.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Расходов (дополнительных поступлений) консолидированного бюджета Белгородской области</w:t>
              <w:br/>
              <w:t xml:space="preserve">не предусмотрено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</w:pPr>
            <w:r>
              <w:rPr>
                <w:rFonts w:eastAsia="Calibri"/>
                <w:lang w:eastAsia="en-US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5"/>
        <w:gridCol w:w="38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и риски негативных последствий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вероятности наступления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рисков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cantSplit/>
          <w:trHeight w:val="17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638"/>
              <w:ind w:right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Не предоставление необходимых документов хозяйствующими субъектами в целях принятии УГЖН Белгородской области решения об осуществлении регионального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top"/>
            <w:textDirection w:val="lrTb"/>
            <w:noWrap w:val="false"/>
          </w:tcPr>
          <w:p>
            <w:pPr>
              <w:pStyle w:val="638"/>
              <w:ind w:right="0"/>
              <w:spacing w:after="0" w:afterAutospacing="0" w:line="240" w:lineRule="auto"/>
              <w:rPr>
                <w:rFonts w:ascii="Liberation Serif" w:hAnsi="Liberation Serif" w:cs="Liberation Serif"/>
                <w:iCs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cs="Liberation Serif"/>
                <w:iCs/>
              </w:rPr>
            </w:r>
            <w:r/>
          </w:p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Низкая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638"/>
              <w:ind w:right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Мониторинг информации </w:t>
            </w: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по управлению многоквартирными домами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6. Необходимые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tbl>
      <w:tblPr>
        <w:tblW w:w="0" w:type="auto"/>
        <w:tblInd w:w="-1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9"/>
        <w:gridCol w:w="1559"/>
        <w:gridCol w:w="2267"/>
        <w:gridCol w:w="1560"/>
        <w:gridCol w:w="1559"/>
      </w:tblGrid>
      <w:tr>
        <w:trPr>
          <w:cantSplit w:val="false"/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Сроки реализации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Описание ожидаемого результата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Объем финансиро-вания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Источники финансиро- 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1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Ведение журнала учета субъектов надзора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Постоянно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Учет субъектов в государственной информационной системе «Типовое облачное решение контрольной (надзорной) деятельности»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Постоянно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Подготовка ежегодного доклада о состоянии регионального государственного надзора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ежегодно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Консультирование (разъяснение по вопросам, связанным с организацией и осуществлением регионального государственного надзора)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 мере необходимости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701"/>
        <w:gridCol w:w="2268"/>
        <w:gridCol w:w="1697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Ключевые показатели достижения целей, заявленных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в предложенном регулировании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Коли-чествнное значение ключевых показателей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(не более 5 лет)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trHeight w:val="136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6"/>
                <w:szCs w:val="26"/>
                <w:lang w:val="ru-RU"/>
              </w:rPr>
              <w:t xml:space="preserve">Минимизация количества выявленных нарушений обязательных </w:t>
            </w:r>
            <w:r>
              <w:rPr>
                <w:rFonts w:ascii="Times New Roman" w:hAnsi="Times New Roman" w:eastAsia="Times New Roman"/>
                <w:sz w:val="26"/>
                <w:szCs w:val="26"/>
                <w:lang w:val="ru-RU"/>
              </w:rPr>
              <w:t xml:space="preserve">требований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638"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t xml:space="preserve">Не более 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</w:rPr>
              <w:t xml:space="preserve">3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</w:rPr>
              <w:t xml:space="preserve">0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t xml:space="preserve"> в год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  <w:highlight w:val="white"/>
              </w:rPr>
              <w:t xml:space="preserve">Проведение контрольно-надзорных мероприятий</w:t>
            </w: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  <w:highlight w:val="white"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</w:rPr>
              <w:t xml:space="preserve">Ежегодно на 1 января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t xml:space="preserve"> года, следующего за отчетным</w:t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8. Предполагаемая дата вступления в силу проекта нормативного правового акта: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 4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квартал 2025 года.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57"/>
        <w:gridCol w:w="1359"/>
        <w:gridCol w:w="448"/>
        <w:gridCol w:w="448"/>
        <w:gridCol w:w="1784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Начальник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  <w:t xml:space="preserve">М.И. Бредихин</w:t>
            </w:r>
            <w:bookmarkStart w:id="3" w:name="_GoBack"/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bookmarkEnd w:id="3"/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(инициалы, фамилия)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 (дата 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(подпись)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link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9" w:customStyle="1">
    <w:name w:val="Основной текст"/>
    <w:next w:val="67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50" w:customStyle="1">
    <w:name w:val="Body Text"/>
    <w:basedOn w:val="78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A68-6A99-44EA-BE55-642108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57</cp:revision>
  <dcterms:created xsi:type="dcterms:W3CDTF">2024-02-26T14:24:00Z</dcterms:created>
  <dcterms:modified xsi:type="dcterms:W3CDTF">2025-07-21T13:37:59Z</dcterms:modified>
</cp:coreProperties>
</file>