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1"/>
        <w:ind w:firstLine="540"/>
        <w:jc w:val="both"/>
      </w:pPr>
      <w:r>
        <w:t xml:space="preserve">  </w:t>
      </w:r>
      <w:r/>
    </w:p>
    <w:p>
      <w:pPr>
        <w:pStyle w:val="671"/>
        <w:ind w:firstLine="540"/>
        <w:jc w:val="both"/>
      </w:pPr>
      <w:r/>
      <w:r/>
    </w:p>
    <w:p>
      <w:pPr>
        <w:pStyle w:val="671"/>
        <w:ind w:firstLine="540"/>
        <w:jc w:val="both"/>
      </w:pPr>
      <w:r/>
      <w:r/>
    </w:p>
    <w:p>
      <w:pPr>
        <w:pStyle w:val="671"/>
        <w:ind w:firstLine="540"/>
        <w:jc w:val="both"/>
      </w:pPr>
      <w:r/>
      <w:r/>
    </w:p>
    <w:p>
      <w:pPr>
        <w:pStyle w:val="671"/>
        <w:ind w:firstLine="540"/>
        <w:jc w:val="both"/>
      </w:pPr>
      <w:r/>
      <w:r/>
    </w:p>
    <w:p>
      <w:pPr>
        <w:pStyle w:val="671"/>
        <w:ind w:firstLine="540"/>
        <w:jc w:val="both"/>
      </w:pPr>
      <w:r/>
      <w:r/>
    </w:p>
    <w:p>
      <w:pPr>
        <w:pStyle w:val="671"/>
        <w:ind w:firstLine="540"/>
        <w:jc w:val="both"/>
      </w:pPr>
      <w:r/>
      <w:r/>
    </w:p>
    <w:p>
      <w:pPr>
        <w:pStyle w:val="671"/>
        <w:ind w:firstLine="540"/>
        <w:jc w:val="both"/>
      </w:pPr>
      <w:r/>
      <w:r/>
    </w:p>
    <w:p>
      <w:pPr>
        <w:pStyle w:val="671"/>
        <w:ind w:firstLine="540"/>
        <w:jc w:val="both"/>
      </w:pPr>
      <w:r/>
      <w:r/>
    </w:p>
    <w:p>
      <w:pPr>
        <w:pStyle w:val="671"/>
        <w:ind w:firstLine="540"/>
        <w:jc w:val="both"/>
      </w:pPr>
      <w:r/>
      <w:r/>
    </w:p>
    <w:p>
      <w:pPr>
        <w:pStyle w:val="671"/>
        <w:ind w:firstLine="540"/>
        <w:jc w:val="both"/>
      </w:pPr>
      <w:r/>
      <w:r/>
    </w:p>
    <w:p>
      <w:pPr>
        <w:pStyle w:val="671"/>
        <w:ind w:firstLine="540"/>
        <w:jc w:val="both"/>
      </w:pPr>
      <w:r/>
      <w:r/>
    </w:p>
    <w:p>
      <w:pPr>
        <w:pStyle w:val="671"/>
        <w:ind w:firstLine="540"/>
        <w:jc w:val="both"/>
      </w:pPr>
      <w:r/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Правительства Белгородской области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от 13 марта 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3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года № 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138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-пп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"https://login.consultant.ru/link/?req=doc&amp;base=LAW&amp;n=435381&amp;date=24.01.2024" </w:instrText>
      </w:r>
      <w:r>
        <w:fldChar w:fldCharType="separate"/>
      </w:r>
      <w:r>
        <w:rPr>
          <w:rStyle w:val="665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ru-RU"/>
        </w:rPr>
        <w:t xml:space="preserve">постановлением</w:t>
      </w:r>
      <w:r>
        <w:rPr>
          <w:rStyle w:val="665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Правительства Российской Федерации от 25 октября 2023 года № 1782 «Об утверждении общих требований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в целях обеспечения достижения на территории Белгородской области целей Государственной программы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развития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сельского хозяйства и регулирования рынков сельскохозяйственной продукции, сырья и продовольствия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утвержденной постановлением Правительства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от 14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июля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12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7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17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Правительство Белгородской области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я е т</w:t>
      </w:r>
      <w:r>
        <w:rPr>
          <w:rFonts w:ascii="Times New Roman" w:hAnsi="Times New Roman" w:cs="Times New Roman"/>
          <w:bCs/>
          <w:sz w:val="28"/>
          <w:szCs w:val="28"/>
        </w:rPr>
        <w:t xml:space="preserve">:</w:t>
      </w:r>
      <w:r/>
    </w:p>
    <w:p>
      <w:pPr>
        <w:numPr>
          <w:ilvl w:val="0"/>
          <w:numId w:val="1"/>
        </w:num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Правительства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Белгородской области от 13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138</w:t>
      </w:r>
      <w:r>
        <w:rPr>
          <w:rFonts w:ascii="Times New Roman" w:hAnsi="Times New Roman" w:cs="Times New Roman"/>
          <w:sz w:val="28"/>
          <w:szCs w:val="28"/>
        </w:rPr>
        <w:t xml:space="preserve">-пп 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утверждении порядков предоставления субсидий из областного бюджета на стимулирование увеличения производства картофеля и овощей</w:t>
      </w:r>
      <w:r>
        <w:rPr>
          <w:rFonts w:ascii="Times New Roman" w:hAnsi="Times New Roman" w:cs="Times New Roman"/>
          <w:sz w:val="28"/>
          <w:szCs w:val="28"/>
        </w:rPr>
        <w:t xml:space="preserve">»:</w:t>
      </w:r>
      <w:r/>
    </w:p>
    <w:p>
      <w:pPr>
        <w:numPr>
          <w:numId w:val="0"/>
        </w:numPr>
        <w:ind w:left="0" w:right="-284" w:firstLine="709"/>
        <w:jc w:val="both"/>
        <w:spacing w:after="0" w:line="240" w:lineRule="auto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/>
      <w:bookmarkStart w:id="1" w:name="_GoBack"/>
      <w:r/>
      <w:bookmarkEnd w:id="1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преамбулу постановления изложить в следующей редакции:</w:t>
      </w:r>
      <w:r/>
    </w:p>
    <w:p>
      <w:pPr>
        <w:numPr>
          <w:numId w:val="0"/>
        </w:numPr>
        <w:ind w:left="0" w:right="-284" w:firstLine="709"/>
        <w:jc w:val="both"/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«В целях реализации постановления Правительства Белгородской области от 25 декабря 2023 года № 751-пп «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Об утверждении государственной программы Белгородской области «Развитие сельского хозяйства и рыбоводства </w:t>
        <w:br/>
        <w:t xml:space="preserve">в Белгородской области», руководствуясь приложением № 12.1 </w:t>
        <w:br/>
        <w:t xml:space="preserve">к Государственной программе развития сельского хозяйства и регулирования рынков сельскохозяй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ственной продукции, сырья и продовольствия, утвержденной Постановлением Правительства Российской Федерации от 14 июля 2012 года N 717, Правительство Белгородской области постановляет:»;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2 постановления изложить в следующей редакции:</w:t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Министерству сельского хозяйства и продовольствия Белгородской области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Цапков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А.Н.</w:t>
      </w:r>
      <w:r>
        <w:rPr>
          <w:rFonts w:ascii="Times New Roman" w:hAnsi="Times New Roman" w:cs="Times New Roman"/>
          <w:sz w:val="28"/>
          <w:szCs w:val="28"/>
        </w:rPr>
        <w:t xml:space="preserve">) и минист</w:t>
      </w:r>
      <w:r>
        <w:rPr>
          <w:rFonts w:ascii="Times New Roman" w:hAnsi="Times New Roman" w:cs="Times New Roman"/>
          <w:sz w:val="28"/>
          <w:szCs w:val="28"/>
        </w:rPr>
        <w:t xml:space="preserve">ерству финансов и бюджетной политики Белгородской области (Шаролапова Н.А.) обеспечить целевое использование денежных средств, предусмотренных для финансирования мероприятий, установленных Порядками, утвержденными в пункте 1 настоящего постановления»;</w:t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3 постановления изложить в следующей редакции:</w:t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Контроль за исполнением настоящего постановления возложить на заместителя Губернатора Белгородской области Антоненко А.А.»;</w:t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Порядок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субсидий из областного бюджета сельскохозяйственным товаропроизводителям Белгородской области на возмещение части затрат на поддержку элитного семеноводства картофеля и (или) овощных культур, включая гибриды овощных культур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1), утвержденный в пункте 1 Постановления: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 2.18 раздела II Порядка изложить в следующей редакции:</w:t>
      </w:r>
      <w:r>
        <w:rPr>
          <w:highlight w:val="white"/>
        </w:rPr>
      </w:r>
    </w:p>
    <w:p>
      <w:pPr>
        <w:ind w:right="-284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«2.18.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Победителями отбора признаются участники отбора, включенные в рейтинг, отраженный в протоколе подведения итогов отбора, сформированный Министерством по результатам ранжирования поступивших заявок в процессе их рассмотрения (далее - рейтинг), в предела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х объема распределяемой субсидии, указанного в объявлении о проведении отбора.</w:t>
      </w:r>
      <w:r>
        <w:rPr>
          <w:highlight w:val="white"/>
        </w:rPr>
      </w:r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Каждому участнику отбора, включенному в рейтинг, распределяется размер субсидии, пропорциональный размеру, указанному им в заявке, к общему размеру субсидии, запрашиваемому всеми участниками отбора, включенными в рейтинг, но не выше размера, указанног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им в заявке, и в пределах объема бюджетных средств, предусмотренного по данному направлению на соответствующий финансовый год, указанного в объявлении о проведении отбора.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71"/>
        <w:ind w:right="-284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пункт 2.19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 Порядка дополнить вторым абзацем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1"/>
        <w:ind w:right="-284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«Внесение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протокол подведения итогов отбора осуществляется не позднее 10-го календарного дня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изменений.»;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пунктом 2.23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 Порядка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«2.23. Порядок отмены проведения отбора: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2.23.1. Размещение Министерством объявления об отмене проведения отбора на Едином портале допускается не позднее чем за 1 (один) рабочий день до даты окончания срока подачи заявок участниками отбора.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2.23.2. Объявление об отмене отбора формируется в электронной форме посредством заполн</w:t>
      </w:r>
      <w:r>
        <w:rPr>
          <w:rFonts w:ascii="Times New Roman" w:hAnsi="Times New Roman" w:cs="Times New Roman"/>
          <w:sz w:val="28"/>
          <w:szCs w:val="28"/>
        </w:rPr>
        <w:t xml:space="preserve">ения соответствующих экранных форм веб-интерфейса системы "Электронный бюджет", подписывается усиленной квалифицированной электронной подписью Министра (уполномоченного им лица), размещается на Едином портале и содержит информацию о причинах отмены отбора.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2.23.3. Участники отбора, подавшие заявки, информируются об отмене проведения отбора в системе "Электронный бюджет".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2.23.4. Отбор считается отмененным со дня размещения объявления о его отмене на Едином портале.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2.23.5. После окончания срока отмены проведения отбора в соответствии с подпунктом 2.23.1 пункта 2.23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 Порядка и до заключения Соглашения с победителем (победителями)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Федерации.»</w:t>
      </w:r>
      <w:r/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Порядок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субсидий из областного бюджета сельскохозяйственным товаропроизводителям Белгородской области </w:t>
        <w:br/>
        <w:t xml:space="preserve">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</w:t>
      </w:r>
      <w:r>
        <w:rPr>
          <w:rFonts w:ascii="Times New Roman" w:hAnsi="Times New Roman" w:cs="Times New Roman"/>
          <w:sz w:val="28"/>
          <w:szCs w:val="28"/>
        </w:rPr>
        <w:t xml:space="preserve"> также на повышение плодородия и качества почв (приложение N 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, утвержденный в пункте 1 Постановления: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абзац двенадцатый пункта 2.7 раздела II Порядка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зложить в следующей редакции: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копии документов, удостоверяющих сортовые и посадочные качества высаженного посадочного материала, выданных органами по сертификации посадочного материала сельскохозяйственных растений, подтверждающих их соответствие для овощных культур ГОСТ 32592-2013, ГОС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 Р 30106-94, ГОСТ 32917-2014, для картофеля - ГОСТ 33996-2016, заверенные подписью участника отбора и печатью (при наличии)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-284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 2.18 раздела II Порядка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right="-284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«2.18.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Победителями отбора признаются участники отбора, включенные в рейтинг, отраженный в протоколе подведения итогов отбора, сформированный Министерством по результатам ранжирования поступивших заявок в процессе их рассмотрения (далее - рейтинг), в предела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х объема распределяемой субсидии, указанного в объявлении о проведении отбора.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Каждому участнику отбора, включенному в рейтинг, распределяется размер субсидии, пропорциональный размеру, указанному им в заявке, к общему размеру субсидии, запрашиваемому всеми участниками отбора, включенными в рейтинг, но не выше размера, указанног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им в заявке, и в пределах объема бюджетных средств, предусмотренного по данному направлению на соответствующий финансовый год, указанного в объявлении о проведении отбора.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671"/>
        <w:ind w:right="-284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пункт 2.19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 Порядка дополнить вторым абзацем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1"/>
        <w:ind w:right="-284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«Внесение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протокол подведения итогов отбора осуществляется не позднее 10-го календарного дня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изменений.»;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пунктом 2.23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 Порядка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«2.23. Порядок отмены проведения отбора: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2.23.1. Размещение Министерством объявления об отмене проведения отбора на Едином портале допускается не позднее чем за 1 (один) рабочий день до даты окончания срока подачи заявок участниками отбора.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2.23.2. Объявление об отмене отбора формируется в электронной форме посредством заполн</w:t>
      </w:r>
      <w:r>
        <w:rPr>
          <w:rFonts w:ascii="Times New Roman" w:hAnsi="Times New Roman" w:cs="Times New Roman"/>
          <w:sz w:val="28"/>
          <w:szCs w:val="28"/>
        </w:rPr>
        <w:t xml:space="preserve">ения соответствующих экранных форм веб-интерфейса системы "Электронный бюджет", подписывается усиленной квалифицированной электронной подписью Министра (уполномоченного им лица), размещается на Едином портале и содержит информацию о причинах отмены отбора.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2.23.3. Участники отбора, подавшие заявки, информируются об отмене проведения отбора в системе "Электронный бюджет".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2.23.4. Отбор считается отмененным со дня размещения объявления о его отмене на Едином портале.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2.23.5. После окончания срока отмены проведения отбора в соответствии с подпунктом 2.23.1 пункта 2.23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 Порядка и до заключения Соглашения с победителем (победителями)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Федерации.»;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Порядок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субсидий из областного бюджета сельскохозяйственным товаропроизводителям Белгородской области на возмещение части затрат на поддержку производства картофеля и овощей открытого грунта (приложение N 3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в пункте 1 Постановления: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right="-284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абзац тринадцатый пункта 2.7 раздела II Порядка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right="-284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опии документов, удостоверяющих сортовые и посадочные качества высаженного посадочного материала, выданных органами по сертификации посадочного материала сельскохозяйственных растений, подтверждающих их соответствие для овощных культур ГОСТ 32592-2013, ГОС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 Р 30106-94, ГОСТ 32917-2014, для картофеля - ГОСТ 33996-2016, заверенные подписью участника отбора и печатью (при наличии)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right="-284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 2.18 раздела II Порядка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right="-284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«2.18.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Победителями отбора признаются участники отбора, включенные в рейтинг, отраженный в протоколе подведения итогов отбора, сформированный Министерством по результатам ранжирования поступивших заявок в процессе их рассмотрения (далее - рейтинг), в предела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х объема распределяемой субсидии, указанного в объявлении о проведении отбора.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Каждому участнику отбора, включенному в рейтинг, распределяется размер субсидии, пропорциональный размеру, указанному им в заявке, к общему размеру субсидии, запрашиваемому всеми участниками отбора, включенными в рейтинг, но не выше размера, указанног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им в заявке, и в пределах объема бюджетных средств, предусмотренного по данному направлению на соответствующий финансовый год, указанного в объявлении о проведении отбора.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671"/>
        <w:ind w:right="-284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пункт 2.19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 Порядка дополнить вторым абзацем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1"/>
        <w:ind w:right="-284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«Внесение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протокол подведения итогов отбора осуществляется не позднее 10-го календарного дня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изменений.»;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пунктом 2.23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 Порядка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«2.23. Порядок отмены проведения отбора: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2.23.1. Размещение Министерством объявления об отмене проведения отбора на Едином портале допускается не позднее чем за 1 (один) рабочий день до даты окончания срока подачи заявок участниками отбора.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2.23.2. Объявление об отмене отбора формируется в электронной форме посредством заполн</w:t>
      </w:r>
      <w:r>
        <w:rPr>
          <w:rFonts w:ascii="Times New Roman" w:hAnsi="Times New Roman" w:cs="Times New Roman"/>
          <w:sz w:val="28"/>
          <w:szCs w:val="28"/>
        </w:rPr>
        <w:t xml:space="preserve">ения соответствующих экранных форм веб-интерфейса системы "Электронный бюджет", подписывается усиленной квалифицированной электронной подписью Министра (уполномоченного им лица), размещается на Едином портале и содержит информацию о причинах отмены отбора.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2.23.3. Участники отбора, подавшие заявки, информируются об отмене проведения отбора в системе "Электронный бюджет".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2.23.4. Отбор считается отмененным со дня размещения объявления о его отмене на Едином портале.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2.23.5. После окончания срока отмены проведения отбора в соответствии с подпунктом 2.23.1 пункта 2.23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 Порядка и до заключения Соглашения с победителем (победителями)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Федерации.»</w:t>
      </w:r>
      <w:r/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Порядок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субсидий из областного бюджета сельскохозяйственным товаропроизводителям Белгородской области </w:t>
        <w:br/>
        <w:t xml:space="preserve">на возмещение части затрат на производство овощей защищенного грунта собственного производства, произведенных с применением технологии досвечивания </w:t>
      </w:r>
      <w:r>
        <w:rPr>
          <w:rFonts w:ascii="Times New Roman" w:hAnsi="Times New Roman" w:cs="Times New Roman"/>
          <w:sz w:val="28"/>
          <w:szCs w:val="28"/>
        </w:rPr>
        <w:t xml:space="preserve">(приложение N 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, утвержденный в пункте 1 Постановления: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right="-284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 2.18 раздела II Порядка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right="-284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«2.18.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Победителями отбора признаются участники отбора, включенные в рейтинг, отраженный в протоколе подведения итогов отбора, сформированный Министерством по результатам ранжирования поступивших заявок в процессе их рассмотрения (далее - рейтинг), в предела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х объема распределяемой субсидии, указанного в объявлении о проведении отбора.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Каждому участнику отбора, включенному в рейтинг, распределяется размер субсидии, пропорциональный размеру, указанному им в заявке, к общему размеру субсидии, запрашиваемому всеми участниками отбора, включенными в рейтинг, но не выше размера, указанног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им в заявке, и в пределах объема бюджетных средств, предусмотренного по данному направлению на соответствующий финансовый год, указанного в объявлении о проведении отбора.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671"/>
        <w:ind w:right="-284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пункт 2.19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 Порядка дополнить вторым абзацем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1"/>
        <w:ind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«Внесение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протокол подведения итогов отбора осуществляется не позднее 10-го календарного дня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изменений.»;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пунктом 2.23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 Порядка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«2.23. Порядок отмены проведения отбора: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2.23.1. Размещение Министерством объявления об отмене проведения отбора на Едином портале допускается не позднее чем за 1 (один) рабочий день до даты окончания срока подачи заявок участниками отбора.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2.23.2. Объявление об отмене отбора формируется в электронной форме посредством заполн</w:t>
      </w:r>
      <w:r>
        <w:rPr>
          <w:rFonts w:ascii="Times New Roman" w:hAnsi="Times New Roman" w:cs="Times New Roman"/>
          <w:sz w:val="28"/>
          <w:szCs w:val="28"/>
        </w:rPr>
        <w:t xml:space="preserve">ения соответствующих экранных форм веб-интерфейса системы "Электронный бюджет", подписывается усиленной квалифицированной электронной подписью Министра (уполномоченного им лица), размещается на Едином портале и содержит информацию о причинах отмены отбора.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2.23.3. Участники отбора, подавшие заявки, информируются об отмене проведения отбора в системе "Электронный бюджет".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2.23.4. Отбор считается отмененным со дня размещения объявления о его отмене на Едином портале.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2.23.5. После окончания срока отмены проведения отбора в соответствии с подпунктом 2.23.1 пункта 2.23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 Порядка и до заключения Соглашения с победителем (победителями)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2. Контроль за исполнением настоящего постановления возложить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на заместителя Губернатора Белгородской области Антоненко А.А.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right="-284" w:firstLine="709"/>
        <w:jc w:val="both"/>
        <w:spacing w:after="0" w:line="232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right="-284"/>
        <w:jc w:val="both"/>
        <w:spacing w:after="0" w:line="232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right="-284" w:firstLine="709"/>
        <w:jc w:val="both"/>
        <w:spacing w:after="0" w:line="232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Губернатор</w:t>
      </w:r>
      <w:r/>
    </w:p>
    <w:p>
      <w:pPr>
        <w:ind w:right="-284"/>
        <w:jc w:val="both"/>
        <w:spacing w:after="0" w:line="232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Белгородской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В.В. Гладков</w:t>
      </w:r>
      <w:r/>
    </w:p>
    <w:p>
      <w:pPr>
        <w:pStyle w:val="671"/>
        <w:ind w:firstLine="540"/>
        <w:jc w:val="both"/>
      </w:pPr>
      <w:r/>
      <w:r/>
    </w:p>
    <w:p>
      <w:pPr>
        <w:pStyle w:val="671"/>
        <w:ind w:firstLine="540"/>
        <w:jc w:val="both"/>
      </w:pPr>
      <w:r/>
      <w:r/>
    </w:p>
    <w:p>
      <w:pPr>
        <w:pStyle w:val="671"/>
        <w:jc w:val="both"/>
      </w:pPr>
      <w:r/>
      <w:r/>
    </w:p>
    <w:p>
      <w:pPr>
        <w:pStyle w:val="671"/>
        <w:ind w:firstLine="540"/>
        <w:jc w:val="both"/>
      </w:pPr>
      <w:r/>
      <w:r/>
    </w:p>
    <w:p>
      <w:pPr>
        <w:pStyle w:val="671"/>
        <w:jc w:val="both"/>
        <w:sectPr>
          <w:headerReference w:type="default" r:id="rId9"/>
          <w:footnotePr/>
          <w:endnotePr/>
          <w:type w:val="nextPage"/>
          <w:pgSz w:w="11906" w:h="16838" w:orient="portrait"/>
          <w:pgMar w:top="1701" w:right="850" w:bottom="993" w:left="1701" w:header="708" w:footer="708" w:gutter="0"/>
          <w:cols w:num="1" w:sep="0" w:space="708" w:equalWidth="1"/>
          <w:docGrid w:linePitch="360"/>
        </w:sectPr>
      </w:pPr>
      <w:r/>
      <w:r/>
    </w:p>
    <w:p>
      <w:pPr>
        <w:pStyle w:val="671"/>
        <w:jc w:val="both"/>
      </w:pPr>
      <w:r/>
      <w:r/>
    </w:p>
    <w:p>
      <w:pPr>
        <w:pStyle w:val="671"/>
        <w:jc w:val="both"/>
      </w:pPr>
      <w:r/>
      <w:r/>
    </w:p>
    <w:p>
      <w:pPr>
        <w:pStyle w:val="671"/>
        <w:jc w:val="both"/>
      </w:pPr>
      <w:r/>
      <w:r/>
    </w:p>
    <w:p>
      <w:pPr>
        <w:pStyle w:val="671"/>
        <w:jc w:val="both"/>
      </w:pPr>
      <w:r/>
      <w:r/>
    </w:p>
    <w:p>
      <w:pPr>
        <w:pStyle w:val="671"/>
        <w:jc w:val="both"/>
      </w:pPr>
      <w:r/>
      <w:r/>
    </w:p>
    <w:p>
      <w:pPr>
        <w:pStyle w:val="671"/>
        <w:jc w:val="both"/>
      </w:pPr>
      <w:r/>
      <w:r/>
    </w:p>
    <w:p>
      <w:pPr>
        <w:pStyle w:val="671"/>
        <w:jc w:val="both"/>
      </w:pPr>
      <w:r/>
      <w:r/>
    </w:p>
    <w:p>
      <w:pPr>
        <w:pStyle w:val="671"/>
        <w:jc w:val="both"/>
      </w:pPr>
      <w:r/>
      <w:r/>
    </w:p>
    <w:p>
      <w:pPr>
        <w:pStyle w:val="671"/>
        <w:jc w:val="both"/>
      </w:pPr>
      <w:r/>
      <w:r/>
    </w:p>
    <w:p>
      <w:pPr>
        <w:pStyle w:val="671"/>
        <w:jc w:val="both"/>
      </w:pPr>
      <w:r/>
      <w:r/>
    </w:p>
    <w:p>
      <w:pPr>
        <w:pStyle w:val="671"/>
        <w:jc w:val="both"/>
      </w:pPr>
      <w:r/>
      <w:r/>
    </w:p>
    <w:p>
      <w:pPr>
        <w:pStyle w:val="671"/>
        <w:jc w:val="both"/>
      </w:pPr>
      <w:r/>
      <w:r/>
    </w:p>
    <w:p>
      <w:pPr>
        <w:pStyle w:val="671"/>
        <w:jc w:val="both"/>
      </w:pPr>
      <w:r/>
      <w:r/>
    </w:p>
    <w:p>
      <w:pPr>
        <w:pStyle w:val="671"/>
        <w:jc w:val="both"/>
      </w:pPr>
      <w:r/>
      <w:r/>
    </w:p>
    <w:sectPr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59" w:lineRule="auto"/>
      </w:pPr>
      <w:r>
        <w:separator/>
      </w:r>
      <w:r/>
    </w:p>
  </w:footnote>
  <w:footnote w:type="continuationSeparator" w:id="0">
    <w:p>
      <w:pPr>
        <w:spacing w:before="0" w:after="0" w:line="259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93191164"/>
      <w:docPartObj>
        <w:docPartGallery w:val="AutoText"/>
      </w:docPartObj>
      <w:rPr/>
    </w:sdtPr>
    <w:sdtContent>
      <w:p>
        <w:pPr>
          <w:pStyle w:val="66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2"/>
    <w:next w:val="66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2"/>
    <w:next w:val="66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2"/>
    <w:next w:val="66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2"/>
    <w:next w:val="66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2"/>
    <w:next w:val="66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2"/>
    <w:next w:val="66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2"/>
    <w:next w:val="66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2"/>
    <w:next w:val="66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2"/>
    <w:next w:val="66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2"/>
    <w:next w:val="66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3"/>
    <w:link w:val="34"/>
    <w:uiPriority w:val="10"/>
    <w:rPr>
      <w:sz w:val="48"/>
      <w:szCs w:val="48"/>
    </w:rPr>
  </w:style>
  <w:style w:type="paragraph" w:styleId="36">
    <w:name w:val="Subtitle"/>
    <w:basedOn w:val="662"/>
    <w:next w:val="66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3"/>
    <w:link w:val="36"/>
    <w:uiPriority w:val="11"/>
    <w:rPr>
      <w:sz w:val="24"/>
      <w:szCs w:val="24"/>
    </w:rPr>
  </w:style>
  <w:style w:type="paragraph" w:styleId="38">
    <w:name w:val="Quote"/>
    <w:basedOn w:val="662"/>
    <w:next w:val="66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2"/>
    <w:next w:val="66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3"/>
    <w:link w:val="667"/>
    <w:uiPriority w:val="99"/>
  </w:style>
  <w:style w:type="character" w:styleId="45">
    <w:name w:val="Footer Char"/>
    <w:basedOn w:val="663"/>
    <w:link w:val="669"/>
    <w:uiPriority w:val="99"/>
  </w:style>
  <w:style w:type="paragraph" w:styleId="46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9"/>
    <w:uiPriority w:val="99"/>
  </w:style>
  <w:style w:type="table" w:styleId="49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3"/>
    <w:uiPriority w:val="99"/>
    <w:unhideWhenUsed/>
    <w:rPr>
      <w:vertAlign w:val="superscript"/>
    </w:rPr>
  </w:style>
  <w:style w:type="paragraph" w:styleId="178">
    <w:name w:val="endnote text"/>
    <w:basedOn w:val="66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3"/>
    <w:uiPriority w:val="99"/>
    <w:semiHidden/>
    <w:unhideWhenUsed/>
    <w:rPr>
      <w:vertAlign w:val="superscript"/>
    </w:rPr>
  </w:style>
  <w:style w:type="paragraph" w:styleId="181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uiPriority w:val="0"/>
    <w:qFormat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styleId="663" w:default="1">
    <w:name w:val="Default Paragraph Font"/>
    <w:uiPriority w:val="1"/>
    <w:semiHidden/>
    <w:unhideWhenUsed/>
    <w:qFormat/>
  </w:style>
  <w:style w:type="table" w:styleId="664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65">
    <w:name w:val="Hyperlink"/>
    <w:basedOn w:val="663"/>
    <w:uiPriority w:val="99"/>
    <w:unhideWhenUsed/>
    <w:qFormat/>
    <w:rPr>
      <w:color w:val="0000ff"/>
      <w:u w:val="single"/>
    </w:rPr>
  </w:style>
  <w:style w:type="paragraph" w:styleId="666">
    <w:name w:val="Balloon Text"/>
    <w:basedOn w:val="662"/>
    <w:link w:val="682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67">
    <w:name w:val="Header"/>
    <w:basedOn w:val="662"/>
    <w:link w:val="680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668">
    <w:name w:val="Body Text"/>
    <w:basedOn w:val="662"/>
    <w:link w:val="679"/>
    <w:uiPriority w:val="0"/>
    <w:qFormat/>
    <w:pPr>
      <w:spacing w:after="140" w:line="276" w:lineRule="auto"/>
    </w:pPr>
  </w:style>
  <w:style w:type="paragraph" w:styleId="669">
    <w:name w:val="Footer"/>
    <w:basedOn w:val="662"/>
    <w:link w:val="681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table" w:styleId="670">
    <w:name w:val="Table Grid"/>
    <w:basedOn w:val="664"/>
    <w:uiPriority w:val="39"/>
    <w:qFormat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1" w:customStyle="1">
    <w:name w:val="ConsPlusNormal"/>
    <w:link w:val="684"/>
    <w:uiPriority w:val="0"/>
    <w:qFormat/>
    <w:pPr>
      <w:spacing w:after="0" w:line="240" w:lineRule="auto"/>
      <w:widowControl w:val="off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styleId="672" w:customStyle="1">
    <w:name w:val="ConsPlusNonformat"/>
    <w:uiPriority w:val="0"/>
    <w:qFormat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2"/>
      <w:lang w:val="ru-RU" w:eastAsia="ru-RU" w:bidi="ar-SA"/>
    </w:rPr>
  </w:style>
  <w:style w:type="paragraph" w:styleId="673" w:customStyle="1">
    <w:name w:val="ConsPlusTitle"/>
    <w:uiPriority w:val="0"/>
    <w:qFormat/>
    <w:pPr>
      <w:spacing w:after="0" w:line="240" w:lineRule="auto"/>
      <w:widowControl w:val="off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paragraph" w:styleId="674" w:customStyle="1">
    <w:name w:val="ConsPlusCell"/>
    <w:uiPriority w:val="0"/>
    <w:qFormat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2"/>
      <w:lang w:val="ru-RU" w:eastAsia="ru-RU" w:bidi="ar-SA"/>
    </w:rPr>
  </w:style>
  <w:style w:type="paragraph" w:styleId="675" w:customStyle="1">
    <w:name w:val="ConsPlusDocList"/>
    <w:uiPriority w:val="0"/>
    <w:qFormat/>
    <w:pPr>
      <w:spacing w:after="0" w:line="240" w:lineRule="auto"/>
      <w:widowControl w:val="off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styleId="676" w:customStyle="1">
    <w:name w:val="ConsPlusTitlePage"/>
    <w:uiPriority w:val="0"/>
    <w:qFormat/>
    <w:pPr>
      <w:spacing w:after="0" w:line="240" w:lineRule="auto"/>
      <w:widowControl w:val="off"/>
    </w:pPr>
    <w:rPr>
      <w:rFonts w:ascii="Tahoma" w:hAnsi="Tahoma" w:cs="Tahoma" w:eastAsiaTheme="minorEastAsia"/>
      <w:sz w:val="20"/>
      <w:szCs w:val="22"/>
      <w:lang w:val="ru-RU" w:eastAsia="ru-RU" w:bidi="ar-SA"/>
    </w:rPr>
  </w:style>
  <w:style w:type="paragraph" w:styleId="677" w:customStyle="1">
    <w:name w:val="ConsPlusJurTerm"/>
    <w:uiPriority w:val="0"/>
    <w:qFormat/>
    <w:pPr>
      <w:spacing w:after="0" w:line="240" w:lineRule="auto"/>
      <w:widowControl w:val="off"/>
    </w:pPr>
    <w:rPr>
      <w:rFonts w:ascii="Tahoma" w:hAnsi="Tahoma" w:cs="Tahoma" w:eastAsiaTheme="minorEastAsia"/>
      <w:sz w:val="26"/>
      <w:szCs w:val="22"/>
      <w:lang w:val="ru-RU" w:eastAsia="ru-RU" w:bidi="ar-SA"/>
    </w:rPr>
  </w:style>
  <w:style w:type="paragraph" w:styleId="678" w:customStyle="1">
    <w:name w:val="ConsPlusTextList"/>
    <w:uiPriority w:val="0"/>
    <w:qFormat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2"/>
      <w:lang w:val="ru-RU" w:eastAsia="ru-RU" w:bidi="ar-SA"/>
    </w:rPr>
  </w:style>
  <w:style w:type="character" w:styleId="679" w:customStyle="1">
    <w:name w:val="Основной текст Знак"/>
    <w:basedOn w:val="663"/>
    <w:link w:val="668"/>
    <w:uiPriority w:val="0"/>
    <w:qFormat/>
  </w:style>
  <w:style w:type="character" w:styleId="680" w:customStyle="1">
    <w:name w:val="Верхний колонтитул Знак"/>
    <w:basedOn w:val="663"/>
    <w:link w:val="667"/>
    <w:uiPriority w:val="99"/>
    <w:qFormat/>
  </w:style>
  <w:style w:type="character" w:styleId="681" w:customStyle="1">
    <w:name w:val="Нижний колонтитул Знак"/>
    <w:basedOn w:val="663"/>
    <w:link w:val="669"/>
    <w:uiPriority w:val="99"/>
    <w:qFormat/>
  </w:style>
  <w:style w:type="character" w:styleId="682" w:customStyle="1">
    <w:name w:val="Текст выноски Знак"/>
    <w:basedOn w:val="663"/>
    <w:link w:val="666"/>
    <w:uiPriority w:val="99"/>
    <w:semiHidden/>
    <w:qFormat/>
    <w:rPr>
      <w:rFonts w:ascii="Segoe UI" w:hAnsi="Segoe UI" w:cs="Segoe UI"/>
      <w:sz w:val="18"/>
      <w:szCs w:val="18"/>
    </w:rPr>
  </w:style>
  <w:style w:type="character" w:styleId="683" w:customStyle="1">
    <w:name w:val="Unresolved Mention"/>
    <w:basedOn w:val="663"/>
    <w:uiPriority w:val="99"/>
    <w:semiHidden/>
    <w:unhideWhenUsed/>
    <w:qFormat/>
    <w:rPr>
      <w:color w:val="605e5c"/>
      <w:shd w:val="clear" w:color="auto" w:fill="e1dfdd"/>
    </w:rPr>
  </w:style>
  <w:style w:type="character" w:styleId="684" w:customStyle="1">
    <w:name w:val="ConsPlusNormal Знак"/>
    <w:link w:val="671"/>
    <w:uiPriority w:val="0"/>
    <w:qFormat/>
    <w:rPr>
      <w:rFonts w:ascii="Calibri" w:hAnsi="Calibri" w:cs="Calibri" w:eastAsiaTheme="minorEastAsia"/>
      <w:lang w:eastAsia="ru-RU"/>
    </w:rPr>
  </w:style>
  <w:style w:type="paragraph" w:styleId="685">
    <w:name w:val="List Paragraph"/>
    <w:basedOn w:val="662"/>
    <w:uiPriority w:val="34"/>
    <w:qFormat/>
    <w:pPr>
      <w:contextualSpacing/>
      <w:ind w:left="720"/>
    </w:pPr>
  </w:style>
  <w:style w:type="numbering" w:styleId="171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Подгорный Александр Николаевич</dc:creator>
  <cp:revision>172</cp:revision>
  <dcterms:created xsi:type="dcterms:W3CDTF">2024-07-18T14:44:00Z</dcterms:created>
  <dcterms:modified xsi:type="dcterms:W3CDTF">2025-08-19T16:07:19Z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