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2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 (инициатор проекта закона Белгородской области):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  <w:lang w:eastAsia="ru-RU"/>
        </w:rPr>
        <w:t xml:space="preserve">Д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епартамент устойчивого развития сельских территорий министерства сельского хозяйства и продовольствия Белгородской области</w:t>
      </w:r>
      <w:r>
        <w:rPr>
          <w:rFonts w:ascii="Times New Roman" w:hAnsi="Times New Roman" w:eastAsia="Calibri" w:cs="Times New Roman"/>
          <w:sz w:val="26"/>
          <w:szCs w:val="26"/>
          <w:u w:val="single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роект постановления Правительства Белгородской области «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О порядке предоставления государственной поддержки из областного бюджета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»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акта: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начало: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  <w:t xml:space="preserve">«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  <w:t xml:space="preserve">29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  <w:t xml:space="preserve">апреля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  <w:t xml:space="preserve"> 2025 г.;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iCs/>
          <w:sz w:val="26"/>
          <w:szCs w:val="26"/>
          <w:highlight w:val="yellow"/>
          <w:u w:val="singl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окончание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  <w:t xml:space="preserve">«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  <w:t xml:space="preserve">16»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  <w:t xml:space="preserve">мая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  <w:t xml:space="preserve"> 2025 г.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акта: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Средняя. Проект нормативного правового акта содержит положения,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ранее установленны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е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порядками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предоставлен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ия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мер гос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ударственной поддержки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с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ельскохозяйственных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товаропроиз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водителей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в органе-разработчике: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  <w:t xml:space="preserve">Михайлова Нина Сергеевна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  <w:t xml:space="preserve">консультант отдела развития потребкооперации и мониторинга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  <w:t xml:space="preserve">показателей малых форм хозяйствования департамента устойчивого развития сельских территорий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/>
          <w:iCs/>
          <w:sz w:val="26"/>
          <w:szCs w:val="26"/>
          <w:highlight w:val="yellow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</w:rPr>
        <w:t xml:space="preserve">(4722) 24-76-54</w:t>
      </w:r>
      <w:r>
        <w:rPr>
          <w:rFonts w:ascii="Times New Roman" w:hAnsi="Times New Roman" w:eastAsia="Times New Roman" w:cs="Times New Roman"/>
          <w:i/>
          <w:iCs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Адрес электронной почты: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  <w:lang w:val="en-US" w:eastAsia="ru-RU"/>
        </w:rPr>
        <w:t xml:space="preserve">mikhaylova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  <w:lang w:val="en-US" w:eastAsia="ru-RU"/>
        </w:rPr>
        <w:t xml:space="preserve">ns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  <w:lang w:eastAsia="ru-RU"/>
        </w:rPr>
        <w:t xml:space="preserve">@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  <w:lang w:val="en-US" w:eastAsia="ru-RU"/>
        </w:rPr>
        <w:t xml:space="preserve">belreg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  <w:lang w:val="en-US" w:eastAsia="ru-RU"/>
        </w:rPr>
        <w:t xml:space="preserve">ru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Недостаточность собственных средств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сельхозтоваропроизводителей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,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br/>
        <w:t xml:space="preserve">а также граждан, ведущих личное подсобное хозяйство и применяющих специальный налоговый режим «Налог на профессиональный доход», на производство овощных культур открытого и закрытого грунта и картофеля.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Мониторинг федерального законодательства, а также антикризисных мер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br/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в сельскохозяйственном секторе региона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, мониторинг обеспеченности малых форм хозяйствования финансовыми ресурсами для производства картофеля и овощных культур.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- низкая обеспеченность картофелем и овощными культурами открытого и закрытого грунта населения Белгородской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- отсутствие заинтересованности в выращивании продукции, в связи с низкой урожайностью из-за отсутствия систем для орошения.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-Приказ Правительства Севастополя от 10.02.2025 года № 31-п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br/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«Об утверждении Решения о порядке предоставления субсидии на возмещение части затрат на модернизацию, реконструкцию и строительство теплиц, в том числе пленочных теплиц, весенних, осенних, зимних теплиц;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-Постановление Правительства Воронежской области от 17.05.2019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br/>
        <w:t xml:space="preserve">№ 504 «Об утверждении Порядка предоставления субсидий из областного б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юджета сельскохозяйственным товаропроизводителям и другим организациям агропромышленного комплекса независимо от их организационно-правовой формы (за исключением граждан, ведущих личное подсобное хозяйство) на развитие производства органической продукции».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- стимулирование сельскохозяйственных товаропроизводителей, относящихся к категории малых форм хозяйствования, а также самозанятых граждан на производство овощных культур открытого и закрытого грунта и на сертификацию и выращивание органической продукции.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Создание оптимальных у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словий для получения средств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государственной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поддержки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sz w:val="26"/>
          <w:szCs w:val="26"/>
          <w:u w:val="single"/>
        </w:rPr>
        <w:t xml:space="preserve">-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улучшение условий для подачи заявочной документации в связи с возможностью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ее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подачи через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единый портал предоставления мер финансовой государственной поддержки системе «Электронный бюджет».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Проект нормативного правового акта разработан в соответствии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br/>
        <w:t xml:space="preserve">с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отборов получателей указанных субсидий, в том числе грантов в форме субсидий»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br/>
        <w:t xml:space="preserve">и государственной программой Белгородской области «Развитие сельского хозяйства и рыбоводства в Белгородской области», утвержденной постановлением Правительства Белгородской области от 25 декабря 2023 года № 751-пп.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декабрь 2025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Иная информация о целях предлагаемого правового регулирования: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отсутствует</w:t>
      </w:r>
      <w:r>
        <w:rPr>
          <w:rFonts w:ascii="Times New Roman" w:hAnsi="Times New Roman" w:eastAsia="Calibri" w:cs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Проектом постановления Правительства Белгородской области  вносятся изменения в Порядки предоставления субсидии на возмещение части затрат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br/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на реконструкцию и (или) модернизацию теплиц производителям овощей закрытого грунта, на развитие мелиорации земель произво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дителям овощей открытого грунт,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на производство овощей закрытого грунта гражданам, ведущим личное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br/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подсобное хозяйство и применяющим специальный налоговый режим «Н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алог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br/>
        <w:t xml:space="preserve">на профессиональный доход» 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на развитие производства органической продукции,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br/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в части: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- скорректированы требования к участникам отбора;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highlight w:val="yellow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- скорректирован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способ подачи заявки на участие в отборе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;</w:t>
      </w:r>
      <w:r/>
    </w:p>
    <w:p>
      <w:pPr>
        <w:ind w:firstLine="709"/>
        <w:jc w:val="both"/>
        <w:spacing w:after="0" w:line="216" w:lineRule="auto"/>
        <w:widowControl w:val="off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- добавлена возможность внесения изменений в объявление о проведении отбора с обязательным уведомлением заявителей о внесении таких изменений; </w:t>
      </w:r>
      <w:r/>
    </w:p>
    <w:p>
      <w:pPr>
        <w:ind w:firstLine="709"/>
        <w:jc w:val="both"/>
        <w:spacing w:after="0" w:line="216" w:lineRule="auto"/>
        <w:widowControl w:val="off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- добавлена возможность формирования протокола рассмотрения заявок, включающего в себя количество поступивших и рассмотренных заявок с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информацией по каждому участнику и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признании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его заявки надлежащей или об отклонении его заявки с указанием оснований для отклонения;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highlight w:val="yellow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- добавлен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порядок отмены проведения отбора.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highlight w:val="yellow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Дополнительно проектом постановления Правительства Белгородской области утверждается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Порядок предоставления из областного бюджета грантов на развитие мелиорации земель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Реконструкция или модернизация теплиц, приобретение мелиоративных систем, разрешенных препаратов и семян (посадочного материала) необходимых для выращивания овощных культур и картофеля, в том числе органических, сельскохозяйственным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и товаропроизводителями, а также приобретение теплиц или материалов для их строительства, гражданами, ведущими личное подсобное хозяйство и применяющими специальный налоговый режим «Налог на профессиональный доход» за счет собственных либо заемных средств.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Согласно данным информационной платформы «Сравни» процентная ставка по кредиту «Для бизнеса» составляет:</w:t>
      </w:r>
      <w:r/>
    </w:p>
    <w:tbl>
      <w:tblPr>
        <w:tblStyle w:val="689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>
        <w:trPr/>
        <w:tc>
          <w:tcPr>
            <w:tcW w:w="492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  <w:t xml:space="preserve">Наименование банка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  <w:tab/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  <w:t xml:space="preserve">% годовых</w:t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  <w:t xml:space="preserve">Альфа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  <w:t xml:space="preserve">-Банк</w:t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  <w:t xml:space="preserve">21,5</w:t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  <w:t xml:space="preserve">ВТБ</w:t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  <w:t xml:space="preserve">30,5</w:t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  <w:t xml:space="preserve">Сбербанк</w:t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  <w:t xml:space="preserve">22,5</w:t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  <w:t xml:space="preserve">Металлинвестбанк</w:t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  <w:t xml:space="preserve">25,5</w:t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  <w:t xml:space="preserve">Банк ПСБ</w:t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single"/>
              </w:rPr>
              <w:t xml:space="preserve">24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Так средняя процентная ставка по кредиту «Для бизнеса» составляет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24,8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%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годовых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. Компенсация фактически понесенных затрат получателя средств на производство овощных культур и картофеля, в том числе органического производства, будет производиться в размере 50-70 %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от фактически понесенных затрат получателя средств.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Р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азмер затрат понесенных МФХ на реконструкцию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и(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или) модернизацию теплиц, установку гидромелиоративных систем и приобретение теплиц ЛПХ в 202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4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году составил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13 500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,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8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тыс. руб.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Размер затрат на создание системы гидромелиорации варьируется от способа выполнения указанных работ. Согласно проведенному анализу размер затрат сельскохозяйственных товаропроизводителей равен до 18 000, 00 тыс. руб.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Переплата за использование указанного размера средств составит не менее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3 348,2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тыс. руб.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и 4 464,00 тыс. руб. соответственно,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без учета дополнительных страховых премий. Таким образом, оказание государственной поддержки производителям овощных культур позволит избежать дополнительных расходов в размере не менее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7 912,2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тыс. руб.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4.3. Обоснование выбора предлагаемого способа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highlight w:val="yellow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Оптимальным способом решения проблемы считаем принятие постановления Правительства Белгородской области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«О порядке предоставления государственной поддержки из областного бюджета»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,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которое позволит повысить эффективность мер поддержки малых форм хозяйствования и самозанятых граждан.</w:t>
      </w:r>
      <w:r>
        <w:rPr>
          <w:rFonts w:ascii="Times New Roman" w:hAnsi="Times New Roman" w:eastAsia="Calibri" w:cs="Times New Roman"/>
          <w:i/>
          <w:iCs/>
          <w:sz w:val="26"/>
          <w:szCs w:val="26"/>
          <w:highlight w:val="yellow"/>
          <w:u w:val="single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Утверждение предложенного порядка позволит создать оптимальные условия для получения малыми формами хозяйствования и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самозанятыми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гражданами государственных поддержек на возмещение части затрат на производство картофеля и овощных культур, в том числе органического производства.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Данное нормативное правовое регулирование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является эффективным способом регулирования и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позволит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снизить финансовую нагрузку на хозяйствующие субъекты,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что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будет способствовать их развитию и повышению заинтересованности к увеличению производства сельскохозяйственной продукции.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yellow"/>
        </w:rPr>
      </w:pPr>
      <w:r>
        <w:rPr>
          <w:rFonts w:ascii="Times New Roman" w:hAnsi="Times New Roman" w:eastAsia="Calibri" w:cs="Times New Roman"/>
          <w:sz w:val="26"/>
          <w:szCs w:val="26"/>
          <w:highlight w:val="yellow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2"/>
        <w:gridCol w:w="2835"/>
      </w:tblGrid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2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Группа участников отношений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2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Сельскохозяйственные товаропрои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зводители, а также  граждане, ведущие личное подсобное хозяйство и применяющие специальный налоговый режим «Налог на профессиональный доход», осуществляющие деятельность на территории Белгородской области и уплачивающие налоги в бюджет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Не менее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37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eastAsia="Calibri" w:cs="Times New Roman"/>
          <w:bCs/>
          <w:sz w:val="26"/>
          <w:szCs w:val="26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sz w:val="20"/>
          <w:szCs w:val="20"/>
          <w:highlight w:val="yellow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543"/>
        <w:gridCol w:w="340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изменения расходов/доходов,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издержек/выгод,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72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Сельскохозяйственные товаропрои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зводители, а также  граждане, ведущие личное подсобное хозяйство и применяющие специальный налоговый режим «Налог на профессиональный доход», осуществляющие деятельность на территории Белгородской области и уплачивающие налоги в бюджет Белгородской области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 xml:space="preserve">Преимущества: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Возможность получения субсидий на производство овощных культур открытого и закрытого грунта, а также картофеля, в том числе органического производства, в размере, не предусмотренные действующими программами государственной поддержки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Предо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ставление заявок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для получения государственной поддержки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 эл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ектронном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виде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Размер гранта – не более 90 % от  суммы указанной в проекте развития хозяйства;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Размер субсидии исчисляется исходя из осуществленных заявителем понесенных  расходов и лимитов бюджетных средств, но не более 50% и (или) 70 % 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окращение издержек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на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возмещение затрат: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br/>
              <w:t xml:space="preserve">-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 на 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реконструкцию и (или) модернизацию теплиц производителям овощей закрытого грунта –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br/>
              <w:t xml:space="preserve">567,83 руб.;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br/>
              <w:t xml:space="preserve">-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на развитие мелиорации земель производителям овощей открытого грунта –567,83 руб.;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-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на производство овощей закрытого грунта гражданам, ведущим личное подсобное хозяйство и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применяющим специальный налоговый режим «Налог на профессиональный доход» – 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4 258,69 руб.;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на развитие производства органической продукции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 – 11 356,5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 xml:space="preserve">Обязанности: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Предоставление пакета документов, необходимых для участия в отборе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на предоставлени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грантов в форме субсидий на развитие мелиорации земель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Общая стоимость требования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eastAsia="ru-RU"/>
              </w:rPr>
              <w:t xml:space="preserve">11924,33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руб.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bCs/>
          <w:sz w:val="20"/>
          <w:szCs w:val="20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sz w:val="20"/>
          <w:szCs w:val="20"/>
          <w:highlight w:val="yellow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3828"/>
        <w:gridCol w:w="240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Министерство сельского хозяйства и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Функции министерства будут осуществляться в рамках ранее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Дополнительные трудозатраты не потребуются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sz w:val="20"/>
          <w:szCs w:val="20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области:*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sz w:val="20"/>
          <w:szCs w:val="20"/>
          <w:highlight w:val="yellow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3402"/>
        <w:gridCol w:w="2835"/>
      </w:tblGrid>
      <w:tr>
        <w:trPr/>
        <w:tc>
          <w:tcPr>
            <w:tcW w:w="3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W w:w="3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Проведение отбора, подготовка документов для выдачи субсидий.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Выдача субсидии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на 2025 год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 xml:space="preserve">20 971,50 тыс. руб.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u w:val="single"/>
          <w:lang w:eastAsia="ru-RU"/>
        </w:rPr>
        <w:t xml:space="preserve">обязательные требования проектом нормативного правового акта не предусмотрены.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методов контроля эффективности избранного способа достижения целей регулирования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:</w:t>
      </w:r>
      <w:r/>
    </w:p>
    <w:tbl>
      <w:tblPr>
        <w:tblpPr w:horzAnchor="margin" w:tblpXSpec="left" w:vertAnchor="text" w:tblpY="189" w:leftFromText="180" w:topFromText="0" w:rightFromText="180" w:bottomFromText="0"/>
        <w:tblW w:w="9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268"/>
        <w:gridCol w:w="326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контроля эффективности избранного способа достижения целей регулирования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9" w:type="dxa"/>
            <w:textDirection w:val="lrTb"/>
            <w:noWrap w:val="false"/>
          </w:tcPr>
          <w:p>
            <w:pPr>
              <w:ind w:right="57"/>
              <w:jc w:val="both"/>
              <w:keepNext/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Снижение количества заявок на участие в отборе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маловероятно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обучающих семинаров. Информирование населения о мерах поддержки,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мониторинг потенциальных участников отбора, взаимодействие с муниципалитетами области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yellow"/>
        </w:rPr>
      </w:pPr>
      <w:r>
        <w:rPr>
          <w:rFonts w:ascii="Times New Roman" w:hAnsi="Times New Roman" w:eastAsia="Calibri" w:cs="Times New Roman"/>
          <w:sz w:val="26"/>
          <w:szCs w:val="26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  <w:highlight w:val="yellow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701"/>
        <w:gridCol w:w="1843"/>
        <w:gridCol w:w="1417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</w:tr>
      <w:tr>
        <w:trPr>
          <w:trHeight w:val="2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pStyle w:val="832"/>
              <w:keepNext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Размещение информации о принятии постановления Правительства Белгородской области на  официальном сайте ведомства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belapk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на едином портале</w:t>
            </w:r>
            <w:r/>
          </w:p>
          <w:p>
            <w:pPr>
              <w:pStyle w:val="832"/>
              <w:keepNext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/>
          </w:p>
          <w:p>
            <w:pPr>
              <w:pStyle w:val="832"/>
              <w:keepNext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Проведение обучающих мероприятий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апрель-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/>
          </w:p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/>
          </w:p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/>
          </w:p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/>
          </w:p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/>
          </w:p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/>
          </w:p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/>
          </w:p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постоянной основе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Увеличение численности поданных заявок и потенциальных претендентов на получение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государственных поддержек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нет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highlight w:val="yellow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highlight w:val="yellow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76"/>
        <w:gridCol w:w="2127"/>
        <w:gridCol w:w="3260"/>
        <w:gridCol w:w="2092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Количественное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контроля эффективности достижения целей правового 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(не более 5 лет)</w:t>
            </w:r>
            <w:r/>
          </w:p>
        </w:tc>
      </w:tr>
      <w:tr>
        <w:trPr>
          <w:trHeight w:val="433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Количество МФХ,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получивших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грант на развитие мелиорации земель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2 ед.;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субсидию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развитие произ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водства органической продукции – 20 ед.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оличество граждан, ведущих ЛПХ, получивших субсидию на производство овощей закрытого грунта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15 ед.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37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t xml:space="preserve">Оценка поступивших заявок от сельскохозяйственных товаропроизводителей, </w:t>
            </w: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br/>
            </w:r>
            <w:bookmarkStart w:id="1" w:name="_GoBack"/>
            <w:r/>
            <w:bookmarkEnd w:id="1"/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t xml:space="preserve">а также граждан, ведущих личное подсобное хозяйство и применяющих специальный налоговый режим «Налог на профессиональный доход»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t xml:space="preserve">жегодно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t xml:space="preserve">(в течени</w:t>
            </w: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t xml:space="preserve"> 5 лет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t xml:space="preserve">с момента предоставления гранта </w:t>
            </w: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t xml:space="preserve">на развитие мелиорации земель</w:t>
            </w: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t xml:space="preserve">)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- сентябрь-декабрь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2025 года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lang w:eastAsia="ru-RU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Cs w:val="28"/>
        </w:rPr>
      </w:pPr>
      <w:r>
        <w:rPr>
          <w:rFonts w:ascii="Times New Roman" w:hAnsi="Times New Roman" w:eastAsia="Calibri" w:cs="Times New Roman"/>
          <w:b/>
          <w:bCs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hAnsi="Times New Roman" w:eastAsia="Calibri" w:cs="Times New Roman"/>
          <w:bCs/>
          <w:i/>
          <w:iCs/>
          <w:sz w:val="26"/>
          <w:szCs w:val="26"/>
        </w:rPr>
        <w:t xml:space="preserve">май</w:t>
      </w:r>
      <w:r>
        <w:rPr>
          <w:rFonts w:ascii="Times New Roman" w:hAnsi="Times New Roman" w:eastAsia="Calibri" w:cs="Times New Roman"/>
          <w:i/>
          <w:iCs/>
          <w:sz w:val="26"/>
          <w:szCs w:val="26"/>
        </w:rPr>
        <w:t xml:space="preserve"> 2025 года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pStyle w:val="83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567" w:right="566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Название Знак"/>
    <w:basedOn w:val="644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basedOn w:val="644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4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4"/>
    <w:uiPriority w:val="99"/>
  </w:style>
  <w:style w:type="paragraph" w:styleId="687">
    <w:name w:val="Caption"/>
    <w:basedOn w:val="634"/>
    <w:next w:val="63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 w:customStyle="1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 w:customStyle="1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 w:customStyle="1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 w:customStyle="1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 w:customStyle="1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5">
    <w:name w:val="footnote text"/>
    <w:basedOn w:val="634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44"/>
    <w:uiPriority w:val="99"/>
    <w:unhideWhenUsed/>
    <w:rPr>
      <w:vertAlign w:val="superscript"/>
    </w:rPr>
  </w:style>
  <w:style w:type="paragraph" w:styleId="818">
    <w:name w:val="endnote text"/>
    <w:basedOn w:val="634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44"/>
    <w:uiPriority w:val="99"/>
    <w:semiHidden/>
    <w:unhideWhenUsed/>
    <w:rPr>
      <w:vertAlign w:val="superscript"/>
    </w:rPr>
  </w:style>
  <w:style w:type="paragraph" w:styleId="821">
    <w:name w:val="toc 1"/>
    <w:basedOn w:val="634"/>
    <w:next w:val="634"/>
    <w:uiPriority w:val="39"/>
    <w:unhideWhenUsed/>
    <w:pPr>
      <w:spacing w:after="57"/>
    </w:pPr>
  </w:style>
  <w:style w:type="paragraph" w:styleId="822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3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4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5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6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7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8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9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34"/>
    <w:next w:val="634"/>
    <w:uiPriority w:val="99"/>
    <w:unhideWhenUsed/>
    <w:pPr>
      <w:spacing w:after="0"/>
    </w:pPr>
  </w:style>
  <w:style w:type="paragraph" w:styleId="83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3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5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6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8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39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0" w:customStyle="1">
    <w:name w:val="Знак"/>
    <w:basedOn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41">
    <w:name w:val="Hyperlink"/>
    <w:basedOn w:val="644"/>
    <w:uiPriority w:val="99"/>
    <w:unhideWhenUsed/>
    <w:rPr>
      <w:color w:val="0000ff" w:themeColor="hyperlink"/>
      <w:u w:val="single"/>
    </w:rPr>
  </w:style>
  <w:style w:type="paragraph" w:styleId="842" w:customStyle="1">
    <w:name w:val="Знак"/>
    <w:basedOn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3" w:customStyle="1">
    <w:name w:val="StGen0"/>
    <w:basedOn w:val="634"/>
    <w:next w:val="84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Normal (Web)"/>
    <w:basedOn w:val="634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845" w:customStyle="1">
    <w:name w:val="Знак"/>
    <w:basedOn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33</cp:revision>
  <dcterms:created xsi:type="dcterms:W3CDTF">2025-01-24T08:13:00Z</dcterms:created>
  <dcterms:modified xsi:type="dcterms:W3CDTF">2025-04-29T05:50:49Z</dcterms:modified>
</cp:coreProperties>
</file>