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numPr>
          <w:ilvl w:val="0"/>
          <w:numId w:val="0"/>
        </w:numPr>
        <w:ind w:left="0" w:firstLine="0"/>
        <w:jc w:val="center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Расчет издержек</w:t>
      </w:r>
      <w:r/>
    </w:p>
    <w:p>
      <w:pPr>
        <w:numPr>
          <w:ilvl w:val="0"/>
          <w:numId w:val="0"/>
        </w:numPr>
        <w:ind w:left="0" w:firstLine="0"/>
        <w:jc w:val="center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  <w:outlineLvl w:val="2"/>
      </w:pP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numPr>
          <w:ilvl w:val="0"/>
          <w:numId w:val="0"/>
        </w:numPr>
        <w:ind w:left="0" w:firstLine="0"/>
        <w:spacing w:before="0" w:after="0" w:line="240" w:lineRule="auto"/>
        <w:rPr>
          <w:rFonts w:ascii="Times New Roman" w:hAnsi="Times New Roman" w:cs="Times New Roman"/>
          <w:b/>
          <w:bCs/>
          <w:sz w:val="26"/>
          <w:szCs w:val="26"/>
          <w:highlight w:val="none"/>
        </w:rPr>
        <w:outlineLvl w:val="2"/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highlight w:val="none"/>
          <w:lang w:eastAsia="ru-RU"/>
        </w:rPr>
        <w:t xml:space="preserve">Название требования: </w:t>
      </w:r>
      <w:r/>
    </w:p>
    <w:p>
      <w:pPr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ffffff"/>
        </w:rPr>
        <w:t xml:space="preserve">Предоставление заявления и документов, </w:t>
      </w:r>
      <w:bookmarkStart w:id="0" w:name="_Hlk84854832"/>
      <w:r/>
      <w:bookmarkEnd w:id="0"/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ffffff"/>
        </w:rPr>
        <w:t xml:space="preserve">необходимых для оказания государственной услуги по 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о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беспечени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ю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 надлежащей экспертизы племенной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 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продукции (материала) и выдач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е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 племенных свидетельств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 (паспортов) </w:t>
      </w: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6"/>
          <w:szCs w:val="26"/>
          <w:highlight w:val="none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ffffff"/>
        </w:rPr>
        <w:t xml:space="preserve">.</w:t>
      </w:r>
      <w:r/>
    </w:p>
    <w:p>
      <w:pPr>
        <w:jc w:val="both"/>
        <w:spacing w:before="0" w:after="0" w:line="240" w:lineRule="auto"/>
        <w:rPr>
          <w:rFonts w:ascii="Times New Roman" w:hAnsi="Times New Roman" w:cs="Times New Roman"/>
          <w:b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i w:val="0"/>
          <w:iCs w:val="0"/>
          <w:sz w:val="26"/>
          <w:szCs w:val="26"/>
          <w:highlight w:val="none"/>
        </w:rPr>
      </w:r>
      <w:r/>
    </w:p>
    <w:p>
      <w:pPr>
        <w:jc w:val="both"/>
        <w:spacing w:before="0" w:after="0" w:line="240" w:lineRule="auto"/>
        <w:rPr>
          <w:rFonts w:ascii="Times New Roman" w:hAnsi="Times New Roman"/>
          <w:bCs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highlight w:val="none"/>
          <w:lang w:eastAsia="ru-RU"/>
        </w:rPr>
        <w:t xml:space="preserve">Условие возникновения требования:</w:t>
      </w:r>
      <w:r/>
    </w:p>
    <w:p>
      <w:pPr>
        <w:jc w:val="both"/>
        <w:spacing w:before="0" w:after="0" w:line="240" w:lineRule="auto"/>
        <w:rPr>
          <w:rFonts w:ascii="Times New Roman" w:hAnsi="Times New Roman"/>
          <w:bCs w:val="0"/>
          <w:i w:val="0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highlight w:val="none"/>
        </w:rPr>
        <w:t xml:space="preserve">Рассмотрение министерством сельского хозяйства и продовольствия Белгородской области заявления  и документов о предоставлении государственной услуги.</w:t>
      </w:r>
      <w:r/>
    </w:p>
    <w:p>
      <w:pPr>
        <w:jc w:val="both"/>
        <w:spacing w:before="0" w:after="0" w:line="240" w:lineRule="auto"/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</w:r>
      <w:r/>
    </w:p>
    <w:p>
      <w:pPr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highlight w:val="none"/>
          <w:lang w:eastAsia="ru-RU"/>
        </w:rPr>
        <w:t xml:space="preserve">Тип требования: </w:t>
      </w:r>
      <w:r/>
    </w:p>
    <w:p>
      <w:pPr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ffffff"/>
        </w:rPr>
        <w:t xml:space="preserve">Подготовка и представление документов.</w:t>
      </w:r>
      <w:r/>
    </w:p>
    <w:p>
      <w:pPr>
        <w:jc w:val="both"/>
        <w:spacing w:before="0" w:after="0" w:line="240" w:lineRule="auto"/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yellow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yellow"/>
        </w:rPr>
      </w:r>
      <w:r/>
    </w:p>
    <w:p>
      <w:pPr>
        <w:jc w:val="both"/>
        <w:spacing w:before="0" w:after="0" w:line="240" w:lineRule="auto"/>
        <w:rPr>
          <w:i w:val="0"/>
          <w:iCs w:val="0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6"/>
          <w:szCs w:val="26"/>
          <w:highlight w:val="none"/>
          <w:lang w:eastAsia="ru-RU"/>
        </w:rPr>
        <w:t xml:space="preserve">Масштаб: </w:t>
      </w:r>
      <w:r/>
    </w:p>
    <w:p>
      <w:pPr>
        <w:ind w:firstLine="708"/>
        <w:jc w:val="both"/>
        <w:spacing w:before="0" w:after="0" w:line="240" w:lineRule="auto"/>
        <w:rPr>
          <w:rStyle w:val="686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lang w:val="ru-RU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auto"/>
        </w:rPr>
        <w:t xml:space="preserve">По состоянию на 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auto"/>
          <w:lang w:val="ru-RU"/>
        </w:rPr>
        <w:t xml:space="preserve">1 октября 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auto"/>
        </w:rPr>
        <w:t xml:space="preserve"> 202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auto"/>
          <w:lang w:val="ru-RU"/>
        </w:rPr>
        <w:t xml:space="preserve">6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shd w:val="clear" w:color="auto" w:fill="auto"/>
        </w:rPr>
        <w:t xml:space="preserve"> года на территории области </w:t>
      </w: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/>
        </w:rPr>
        <w:t xml:space="preserve">осуществляют</w:t>
      </w:r>
      <w:r>
        <w:rPr>
          <w:rStyle w:val="686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/>
        </w:rPr>
        <w:t xml:space="preserve"> деятельность в области племенного животноводства 17 хозяйствующих субъектов. Ежегодно реализуется порядка 6 000 племенных животных, требующих подтверждение племенной ценности и оформление племенных свидетельств (паспортов). </w:t>
      </w:r>
      <w:r/>
    </w:p>
    <w:p>
      <w:pPr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highlight w:val="none"/>
          <w:shd w:val="clear" w:color="auto" w:fill="ffffff"/>
        </w:rPr>
      </w: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highlight w:val="none"/>
          <w:shd w:val="clear" w:color="auto" w:fill="ffffff"/>
        </w:rPr>
      </w:r>
    </w:p>
    <w:p>
      <w:pPr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i w:val="0"/>
          <w:iCs w:val="0"/>
          <w:color w:val="000000"/>
          <w:sz w:val="26"/>
          <w:szCs w:val="26"/>
          <w:highlight w:val="none"/>
          <w:shd w:val="clear" w:color="auto" w:fill="ffffff"/>
        </w:rPr>
        <w:t xml:space="preserve">Среднемесячная заработная плата по Белгородской области: </w:t>
      </w: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highlight w:val="none"/>
          <w:shd w:val="clear" w:color="auto" w:fill="ffffff"/>
          <w:lang w:val="ru-RU"/>
        </w:rPr>
        <w:t xml:space="preserve">71 632</w:t>
      </w: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highlight w:val="none"/>
          <w:shd w:val="clear" w:color="auto" w:fill="ffffff"/>
        </w:rPr>
        <w:t xml:space="preserve"> руб.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r>
      <w:r>
        <w:rPr>
          <w:highlight w:val="none"/>
        </w:rPr>
      </w:r>
    </w:p>
    <w:p>
      <w:pPr>
        <w:jc w:val="both"/>
        <w:spacing w:before="0" w:after="0" w:line="240" w:lineRule="auto"/>
        <w:rPr>
          <w:rFonts w:ascii="Times New Roman" w:hAnsi="Times New Roman" w:eastAsia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</w:rPr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</w:rPr>
      </w:r>
    </w:p>
    <w:p>
      <w:pPr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highlight w:val="none"/>
        </w:rPr>
        <w:t xml:space="preserve">Средняя стоимость часа работы: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  <w:lang w:val="ru-RU"/>
        </w:rPr>
        <w:t xml:space="preserve">529,91 </w:t>
      </w:r>
      <w:r>
        <w:rPr>
          <w:rFonts w:ascii="Times New Roman" w:hAnsi="Times New Roman" w:cs="Times New Roman"/>
          <w:i w:val="0"/>
          <w:iCs w:val="0"/>
          <w:sz w:val="26"/>
          <w:szCs w:val="26"/>
          <w:highlight w:val="none"/>
        </w:rPr>
        <w:t xml:space="preserve">руб. </w:t>
      </w:r>
      <w:r>
        <w:rPr>
          <w:rFonts w:ascii="Times New Roman" w:hAnsi="Times New Roman" w:eastAsia="Times New Roman" w:cs="Times New Roman"/>
          <w:bCs w:val="0"/>
          <w:i w:val="0"/>
          <w:sz w:val="26"/>
          <w:szCs w:val="26"/>
          <w:highlight w:val="none"/>
        </w:rPr>
      </w:r>
      <w:r>
        <w:rPr>
          <w:highlight w:val="none"/>
        </w:rPr>
      </w:r>
    </w:p>
    <w:p>
      <w:pPr>
        <w:jc w:val="both"/>
        <w:spacing w:before="0" w:after="0" w:line="240" w:lineRule="auto"/>
        <w:rPr>
          <w:rFonts w:ascii="Times New Roman" w:hAnsi="Times New Roman" w:eastAsia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highlight w:val="non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highlight w:val="none"/>
          <w:lang w:val="en-US" w:eastAsia="ru-RU"/>
        </w:rPr>
        <w:t xml:space="preserve">71632 руб.</w:t>
      </w: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highlight w:val="none"/>
          <w:lang w:eastAsia="ru-RU"/>
        </w:rPr>
        <w:t xml:space="preserve">/22 рабочих дня/ 8 рабочих часов*1,302 коэф. налоговых отчислений)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spacing w:before="0" w:after="0" w:line="240" w:lineRule="auto"/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yellow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yellow"/>
          <w:u w:val="none"/>
        </w:rPr>
      </w:r>
      <w:r/>
    </w:p>
    <w:p>
      <w:pPr>
        <w:jc w:val="both"/>
        <w:spacing w:before="0" w:after="0" w:line="240" w:lineRule="auto"/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</w:pPr>
      <w:r>
        <w:rPr>
          <w:rFonts w:ascii="Times New Roman" w:hAnsi="Times New Roman" w:eastAsia="Arial" w:cs="Times New Roman"/>
          <w:b/>
          <w:bCs/>
          <w:sz w:val="26"/>
          <w:szCs w:val="26"/>
          <w:highlight w:val="none"/>
          <w:lang w:eastAsia="en-US"/>
        </w:rPr>
        <w:t xml:space="preserve">Перечень документов и (или) информации, которые заявитель должен предоставить</w:t>
      </w: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  <w:t xml:space="preserve">:</w:t>
      </w:r>
      <w:r>
        <w:rPr>
          <w:highlight w:val="none"/>
        </w:rPr>
      </w:r>
    </w:p>
    <w:p>
      <w:pPr>
        <w:jc w:val="both"/>
        <w:spacing w:before="0" w:after="0" w:line="240" w:lineRule="auto"/>
        <w:rPr>
          <w:rStyle w:val="686"/>
          <w:rFonts w:ascii="Times New Roman" w:hAnsi="Times New Roman" w:cs="Times New Roman"/>
          <w:b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</w:rPr>
      </w:pP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</w: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</w:r>
    </w:p>
    <w:tbl>
      <w:tblPr>
        <w:tblStyle w:val="712"/>
        <w:tblW w:w="0" w:type="auto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>
        <w:trPr/>
        <w:tc>
          <w:tcPr>
            <w:tcW w:w="5244" w:type="dxa"/>
            <w:textDirection w:val="lrTb"/>
            <w:noWrap w:val="false"/>
          </w:tcPr>
          <w:p>
            <w:pPr>
              <w:ind w:right="0"/>
              <w:jc w:val="center"/>
              <w:spacing w:before="0" w:after="0" w:afterAutospacing="0" w:line="240" w:lineRule="auto"/>
              <w:rPr>
                <w:rFonts w:hint="default" w:ascii="Times New Roman" w:hAnsi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auto"/>
                <w:vertAlign w:val="baseline"/>
                <w:lang w:val="ru-RU"/>
              </w:rPr>
              <w:t xml:space="preserve">Текущее регулирование</w:t>
            </w:r>
            <w:r>
              <w:rPr>
                <w:highlight w:val="none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ind w:right="0"/>
              <w:jc w:val="center"/>
              <w:spacing w:before="0" w:after="0" w:afterAutospacing="0" w:line="240" w:lineRule="auto"/>
              <w:rPr>
                <w:rFonts w:hint="default" w:ascii="Times New Roman" w:hAnsi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auto"/>
                <w:vertAlign w:val="baseline"/>
                <w:lang w:val="ru-RU"/>
              </w:rPr>
              <w:t xml:space="preserve">Предлагаемое регулирование</w:t>
            </w:r>
            <w:r>
              <w:rPr>
                <w:highlight w:val="none"/>
              </w:rPr>
            </w:r>
          </w:p>
        </w:tc>
      </w:tr>
      <w:tr>
        <w:trPr/>
        <w:tc>
          <w:tcPr>
            <w:tcW w:w="5244" w:type="dxa"/>
            <w:vAlign w:val="top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6"/>
                <w:szCs w:val="26"/>
                <w:highlight w:val="yellow"/>
                <w:shd w:val="clear" w:color="auto" w:fill="auto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Запрос о предоставлении государственной услуги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- 0,5 чел./час.</w:t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 w:eastAsiaTheme="minorHAnsi"/>
                <w:b w:val="0"/>
                <w:bCs w:val="0"/>
                <w:color w:val="000000"/>
                <w:sz w:val="26"/>
                <w:szCs w:val="26"/>
                <w:highlight w:val="yellow"/>
                <w:shd w:val="clear" w:color="auto" w:fill="auto"/>
                <w:vertAlign w:val="baseline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Запрос о предоставлении государственной услуги</w:t>
              <w:br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- 0,5 чел./час.</w:t>
            </w:r>
            <w:r/>
          </w:p>
        </w:tc>
      </w:tr>
      <w:tr>
        <w:trPr/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Опись племенной продукции (материала)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- 0,2 чел./часа</w:t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Опись племенной продукции (материала)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  <w:br/>
              <w:t xml:space="preserve">- 0,2 чел./часа</w:t>
            </w:r>
            <w:r/>
          </w:p>
        </w:tc>
      </w:tr>
      <w:tr>
        <w:trPr>
          <w:trHeight w:val="779"/>
        </w:trPr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аспорт гражданина Российской Федерации или иного документа, удостоверяющего личность заявителя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- 0,02 чел./часа</w:t>
            </w:r>
            <w:r/>
          </w:p>
        </w:tc>
      </w:tr>
      <w:tr>
        <w:trPr/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на осуществление действий от имени заявителя или его копия, заверенная заявителем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/нотариально </w:t>
              <w:br/>
              <w:t xml:space="preserve">- 0,3 чел./часа</w:t>
            </w:r>
            <w:r/>
          </w:p>
        </w:tc>
      </w:tr>
      <w:tr>
        <w:trPr/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767"/>
              <w:ind w:firstLine="0"/>
              <w:keepLines w:val="0"/>
              <w:keepNext w:val="0"/>
              <w:pageBreakBefore w:val="0"/>
              <w:widowControl w:val="off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Копии результатов генетической экспертизы на достоверность происхождения племенных животных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- 0,3 чел./часа</w:t>
            </w:r>
            <w:r/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З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аключение ЦИО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об отнесении сельскохозяйственных животных к племенной продукции (материалу)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- 1 чел./часа</w:t>
            </w:r>
            <w:r/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Копия Договора купли-продажи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племенной продукции (материала)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заверенная заявителем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- 0,2 чел./час.</w:t>
            </w:r>
            <w:r/>
          </w:p>
        </w:tc>
      </w:tr>
      <w:tr>
        <w:trPr/>
        <w:tc>
          <w:tcPr>
            <w:gridSpan w:val="2"/>
            <w:tcW w:w="10488" w:type="dxa"/>
            <w:vMerge w:val="restart"/>
            <w:textDirection w:val="lrTb"/>
            <w:noWrap w:val="false"/>
          </w:tcPr>
          <w:p>
            <w:pPr>
              <w:ind w:right="0"/>
              <w:jc w:val="center"/>
              <w:spacing w:before="0" w:after="0" w:afterAutospacing="0" w:line="240" w:lineRule="auto"/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Итого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трудозатрат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: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W w:w="5244" w:type="dxa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0,7 чел./часов</w:t>
            </w:r>
            <w:r/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ind w:right="0"/>
              <w:jc w:val="both"/>
              <w:spacing w:before="0" w:after="0" w:afterAutospacing="0" w:line="240" w:lineRule="auto"/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2,52 чел./часа</w:t>
            </w:r>
            <w:r/>
          </w:p>
        </w:tc>
      </w:tr>
      <w:tr>
        <w:trPr/>
        <w:tc>
          <w:tcPr>
            <w:gridSpan w:val="2"/>
            <w:tcW w:w="10488" w:type="dxa"/>
            <w:vMerge w:val="restart"/>
            <w:textDirection w:val="lrTb"/>
            <w:noWrap w:val="false"/>
          </w:tcPr>
          <w:p>
            <w:pPr>
              <w:ind w:right="0"/>
              <w:jc w:val="center"/>
              <w:spacing w:before="0" w:after="0" w:afterAutospacing="0" w:line="240" w:lineRule="auto"/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  <w:t xml:space="preserve">Стоимость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none"/>
              </w:rPr>
              <w:t xml:space="preserve"> трудозатрат на получение </w:t>
            </w:r>
            <w:r>
              <w:rPr>
                <w:rStyle w:val="688"/>
                <w:rFonts w:hint="default" w:ascii="Times New Roman" w:hAnsi="Times New Roman"/>
                <w:b/>
                <w:bCs/>
                <w:sz w:val="26"/>
                <w:szCs w:val="26"/>
                <w:highlight w:val="none"/>
              </w:rPr>
              <w:t xml:space="preserve">племенного св-ва</w:t>
            </w:r>
            <w:r>
              <w:rPr>
                <w:rStyle w:val="688"/>
                <w:rFonts w:hint="default" w:ascii="Times New Roman" w:hAnsi="Times New Roman"/>
                <w:b/>
                <w:bCs/>
                <w:sz w:val="26"/>
                <w:szCs w:val="26"/>
                <w:highlight w:val="none"/>
                <w:lang w:val="ru-RU"/>
              </w:rPr>
              <w:t xml:space="preserve"> (паспорта)</w:t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370,93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 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r>
            <w:r/>
          </w:p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Cs w:val="0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(529,91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*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6"/>
                <w:szCs w:val="26"/>
                <w:highlight w:val="none"/>
                <w:lang w:val="ru-RU"/>
              </w:rPr>
              <w:t xml:space="preserve">0,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highlight w:val="none"/>
              </w:rPr>
              <w:t xml:space="preserve">7 чел./часа</w:t>
            </w:r>
            <w:r>
              <w:rPr>
                <w:b w:val="0"/>
                <w:bCs w:val="0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</w:rPr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1335,37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 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r>
          </w:p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(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529,91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*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6"/>
                <w:szCs w:val="26"/>
                <w:highlight w:val="none"/>
                <w:lang w:val="ru-RU"/>
              </w:rPr>
              <w:t xml:space="preserve">2,52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highlight w:val="none"/>
              </w:rPr>
              <w:t xml:space="preserve"> чел./часа</w:t>
            </w:r>
            <w:r>
              <w:rPr>
                <w:b w:val="0"/>
                <w:bCs w:val="0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r>
            <w:r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  <w:lang w:val="ru-RU"/>
              </w:rPr>
            </w:r>
          </w:p>
        </w:tc>
      </w:tr>
      <w:tr>
        <w:trPr/>
        <w:tc>
          <w:tcPr>
            <w:gridSpan w:val="2"/>
            <w:tcW w:w="10488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  <w:t xml:space="preserve">Общая стоимость трудозатрат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6"/>
                <w:szCs w:val="26"/>
                <w:highlight w:val="none"/>
              </w:rPr>
            </w:r>
          </w:p>
        </w:tc>
      </w:tr>
      <w:tr>
        <w:trPr/>
        <w:tc>
          <w:tcPr>
            <w:tcW w:w="5244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2,22 млн 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(6000 ед. * 370,93 руб.)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8,01 млн руб.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</w:rPr>
            </w:r>
          </w:p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  <w:t xml:space="preserve">(6000 ед. * 1335,37 руб.)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6"/>
                <w:szCs w:val="26"/>
                <w:highlight w:val="none"/>
              </w:rPr>
            </w:r>
          </w:p>
        </w:tc>
      </w:tr>
    </w:tbl>
    <w:p>
      <w:pPr>
        <w:jc w:val="both"/>
        <w:spacing w:before="0" w:after="0" w:line="240" w:lineRule="auto"/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yellow"/>
          <w:u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yellow"/>
          <w:u w:val="none"/>
          <w:shd w:val="clear" w:color="auto" w:fill="auto"/>
        </w:rPr>
      </w:r>
      <w:r/>
    </w:p>
    <w:p>
      <w:pPr>
        <w:ind w:left="0" w:right="0" w:firstLine="708"/>
        <w:jc w:val="both"/>
        <w:spacing w:before="0" w:after="0" w:line="240" w:lineRule="auto"/>
        <w:rPr>
          <w:highlight w:val="none"/>
        </w:rPr>
      </w:pP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  <w:t xml:space="preserve">В соответствии с 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Федеральным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 законом от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августа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</w:rPr>
        <w:t xml:space="preserve"> 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1995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</w:rPr>
        <w:t xml:space="preserve"> года № 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123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</w:rPr>
        <w:t xml:space="preserve">-ФЗ «О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племенном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 животноводстве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</w:rPr>
        <w:t xml:space="preserve">»</w:t>
      </w:r>
      <w:r>
        <w:rPr>
          <w:rFonts w:hint="default" w:ascii="Times New Roman" w:hAnsi="Times New Roman" w:eastAsia="Arial" w:cs="Arial"/>
          <w:bCs/>
          <w:color w:val="000000"/>
          <w:spacing w:val="-6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  <w:t xml:space="preserve">государственн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ая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  <w:t xml:space="preserve"> услуг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а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  <w:t xml:space="preserve"> по  </w:t>
      </w:r>
      <w:r>
        <w:rPr>
          <w:rStyle w:val="688"/>
          <w:rFonts w:ascii="Times New Roman" w:hAnsi="Times New Roman" w:cs="Times New Roman"/>
          <w:b w:val="0"/>
          <w:bCs w:val="0"/>
          <w:sz w:val="26"/>
          <w:szCs w:val="26"/>
          <w:highlight w:val="none"/>
          <w:lang w:val="ru-RU"/>
        </w:rPr>
        <w:t xml:space="preserve">обеспечению</w:t>
      </w:r>
      <w:r>
        <w:rPr>
          <w:rStyle w:val="688"/>
          <w:rFonts w:hint="default" w:ascii="Times New Roman" w:hAnsi="Times New Roman" w:cs="Times New Roman"/>
          <w:b w:val="0"/>
          <w:bCs w:val="0"/>
          <w:sz w:val="26"/>
          <w:szCs w:val="26"/>
          <w:highlight w:val="none"/>
          <w:lang w:val="ru-RU"/>
        </w:rPr>
        <w:t xml:space="preserve"> 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надлежащей экспертизы племенной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 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</w:rPr>
        <w:t xml:space="preserve">продукции (материала) и выдача племенных свидетельств</w:t>
      </w:r>
      <w:r>
        <w:rPr>
          <w:rStyle w:val="688"/>
          <w:rFonts w:hint="default" w:ascii="Times New Roman" w:hAnsi="Times New Roman"/>
          <w:b w:val="0"/>
          <w:bCs w:val="0"/>
          <w:sz w:val="26"/>
          <w:szCs w:val="26"/>
          <w:highlight w:val="none"/>
          <w:lang w:val="ru-RU"/>
        </w:rPr>
        <w:t xml:space="preserve"> (паспортов)</w:t>
      </w:r>
      <w:r>
        <w:rPr>
          <w:rStyle w:val="686"/>
          <w:rFonts w:ascii="Times New Roman" w:hAnsi="Times New Roman" w:eastAsia="Calibri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 w:eastAsia="ru-RU"/>
        </w:rPr>
        <w:t xml:space="preserve"> </w:t>
      </w:r>
      <w:r>
        <w:rPr>
          <w:rStyle w:val="68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  <w:t xml:space="preserve">предоставл</w:t>
      </w:r>
      <w:r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яется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sz w:val="26"/>
          <w:szCs w:val="26"/>
          <w:highlight w:val="none"/>
          <w:shd w:val="clear" w:color="auto" w:fill="auto"/>
          <w:lang w:val="ru-RU"/>
        </w:rPr>
        <w:t xml:space="preserve">бесплатно</w:t>
      </w:r>
      <w:r>
        <w:rPr>
          <w:rFonts w:hint="default"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  <w:lang w:val="ru-RU"/>
        </w:rPr>
        <w:t xml:space="preserve">.</w:t>
      </w:r>
      <w:r/>
    </w:p>
    <w:p>
      <w:pPr>
        <w:ind w:left="0" w:right="0" w:firstLine="708"/>
        <w:jc w:val="both"/>
        <w:spacing w:before="0" w:after="0" w:line="240" w:lineRule="auto"/>
        <w:rPr>
          <w:rStyle w:val="686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/>
        </w:rPr>
      </w:pPr>
      <w:r>
        <w:rPr>
          <w:rStyle w:val="686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/>
        </w:rPr>
        <w:t xml:space="preserve">Утверждение дополнительных документов, необходимых при подготовке пакета документов на оказание государственной услуги</w:t>
      </w:r>
      <w:bookmarkStart w:id="1" w:name="_GoBack"/>
      <w:r/>
      <w:bookmarkEnd w:id="1"/>
      <w:r>
        <w:rPr>
          <w:rStyle w:val="686"/>
          <w:rFonts w:hint="default"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  <w:shd w:val="clear" w:color="auto" w:fill="auto"/>
          <w:lang w:val="ru-RU"/>
        </w:rPr>
        <w:t xml:space="preserve"> качественно, максимально снизит риски выдачи племенных свидетельств (паспортов) с искаженными данными.</w:t>
      </w:r>
      <w:r/>
    </w:p>
    <w:p>
      <w:pPr>
        <w:ind w:left="0" w:right="0" w:firstLine="708"/>
        <w:jc w:val="both"/>
        <w:keepLines w:val="0"/>
        <w:keepNext w:val="0"/>
        <w:pageBreakBefore w:val="0"/>
        <w:spacing w:before="0" w:beforeAutospacing="0" w:after="0" w:afterAutospacing="0" w:line="110" w:lineRule="atLeast"/>
        <w:shd w:val="clear" w:color="auto" w:fill="ffffff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ascii="Times New Roman" w:hAnsi="Times New Roman"/>
          <w:sz w:val="26"/>
          <w:szCs w:val="26"/>
          <w:highlight w:val="none"/>
        </w:rPr>
        <w:t xml:space="preserve">За реализацию</w:t>
      </w:r>
      <w:r>
        <w:rPr>
          <w:rFonts w:hint="default" w:ascii="Times New Roman" w:hAnsi="Times New Roman"/>
          <w:sz w:val="26"/>
          <w:szCs w:val="26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en-US" w:eastAsia="zh-CN" w:bidi="ar-SA"/>
        </w:rPr>
        <w:t xml:space="preserve">или использование в целях воспроизводства племенной продукции </w:t>
        <w:br/>
        <w:t xml:space="preserve">с нарушением установленных требований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zh-CN" w:bidi="ar-SA"/>
        </w:rPr>
        <w:t xml:space="preserve"> федерального законодательства в области племенного животноводства предусмотрено административное наказание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en-US" w:eastAsia="zh-CN" w:bidi="ar-SA"/>
        </w:rPr>
        <w:t xml:space="preserve">: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- 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предупреждение;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- а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дминистративный штраф: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- д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ля граждан — от 1 000 до 1 500 рублей;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-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 для должностных лиц — от 2 000 до 3 000 рублей;</w:t>
      </w:r>
      <w:r/>
    </w:p>
    <w:p>
      <w:pPr>
        <w:numPr>
          <w:ilvl w:val="0"/>
          <w:numId w:val="0"/>
        </w:numPr>
        <w:ind w:left="0" w:right="0" w:firstLine="0"/>
        <w:keepLines w:val="0"/>
        <w:keepNext w:val="0"/>
        <w:pageBreakBefore w:val="0"/>
        <w:spacing w:before="0" w:beforeAutospacing="0" w:after="0" w:afterAutospacing="0" w:line="110" w:lineRule="atLeast"/>
        <w:widowControl/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</w:rPr>
        <w:suppressLineNumbers w:val="0"/>
      </w:pPr>
      <w:r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-</w:t>
      </w:r>
      <w:r>
        <w:rPr>
          <w:rFonts w:hint="default" w:ascii="Times New Roman" w:hAnsi="Times New Roman" w:cs="Times New Roman" w:eastAsiaTheme="minorHAnsi"/>
          <w:bCs w:val="0"/>
          <w:i w:val="0"/>
          <w:color w:val="auto"/>
          <w:sz w:val="26"/>
          <w:szCs w:val="26"/>
          <w:highlight w:val="none"/>
          <w:shd w:val="clear" w:color="auto" w:fill="auto"/>
          <w:lang w:val="ru-RU" w:eastAsia="en-US" w:bidi="ar-SA"/>
        </w:rPr>
        <w:t xml:space="preserve"> для юридических лиц — от 20 000 до 30 000 рублей.</w:t>
      </w:r>
      <w:r/>
    </w:p>
    <w:p>
      <w:pPr>
        <w:pStyle w:val="769"/>
        <w:jc w:val="both"/>
        <w:spacing w:before="0" w:after="0" w:line="240" w:lineRule="auto"/>
        <w:rPr>
          <w:highlight w:val="none"/>
        </w:rPr>
      </w:pPr>
      <w:r>
        <w:rPr>
          <w:highlight w:val="none"/>
        </w:rPr>
      </w:r>
      <w:r/>
    </w:p>
    <w:p>
      <w:pPr>
        <w:pStyle w:val="769"/>
        <w:jc w:val="left"/>
        <w:spacing w:before="0" w:after="160"/>
        <w:rPr>
          <w:highlight w:val="none"/>
        </w:rPr>
      </w:pPr>
      <w:r>
        <w:rPr>
          <w:highlight w:val="none"/>
        </w:rPr>
      </w:r>
      <w:r/>
    </w:p>
    <w:p>
      <w:pPr>
        <w:jc w:val="both"/>
        <w:spacing w:before="0" w:after="0" w:line="240" w:lineRule="auto"/>
        <w:rPr>
          <w:rFonts w:ascii="Times New Roman" w:hAnsi="Times New Roman"/>
          <w:bCs w:val="0"/>
          <w:i w:val="0"/>
          <w:sz w:val="26"/>
          <w:szCs w:val="26"/>
          <w:highlight w:val="yellow"/>
        </w:rPr>
      </w:pPr>
      <w:r>
        <w:rPr>
          <w:rFonts w:ascii="Times New Roman" w:hAnsi="Times New Roman"/>
          <w:bCs w:val="0"/>
          <w:i w:val="0"/>
          <w:sz w:val="26"/>
          <w:szCs w:val="26"/>
          <w:highlight w:val="yellow"/>
        </w:rPr>
      </w:r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710" w:right="567" w:bottom="1105" w:left="851" w:header="142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imesNewRomanPSMT">
    <w:panose1 w:val="02020603050405020304"/>
  </w:font>
  <w:font w:name="Noto Sans CJK SC">
    <w:panose1 w:val="020B0502040504020204"/>
  </w:font>
  <w:font w:name="FreeSans">
    <w:panose1 w:val="020B060602020203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59" w:lineRule="auto"/>
      </w:pPr>
      <w:r>
        <w:separator/>
      </w:r>
      <w:r/>
    </w:p>
  </w:footnote>
  <w:footnote w:type="continuationSeparator" w:id="0">
    <w:p>
      <w:pPr>
        <w:spacing w:before="0" w:after="0" w:line="259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jc w:val="center"/>
      <w:rPr>
        <w:rFonts w:ascii="Times New Roman" w:hAnsi="Times New Roman"/>
      </w:rPr>
    </w:pPr>
    <w:r>
      <w:rPr>
        <w:rFonts w:ascii="Times New Roman" w:hAnsi="Times New Roman"/>
      </w:rPr>
    </w:r>
    <w:r/>
  </w:p>
  <w:p>
    <w:pPr>
      <w:pStyle w:val="695"/>
      <w:jc w:val="center"/>
      <w:spacing w:before="0" w:after="160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spacing w:before="0" w:after="1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spacing w:before="0" w:after="1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uiPriority w:val="0"/>
    <w:qFormat/>
    <w:pPr>
      <w:jc w:val="left"/>
      <w:spacing w:before="0" w:after="160" w:line="259" w:lineRule="auto"/>
      <w:widowControl/>
    </w:pPr>
    <w:rPr>
      <w:rFonts w:hint="default" w:ascii="Calibri" w:hAnsi="Calibri" w:eastAsia="Calibri" w:cs="Times New Roman"/>
      <w:color w:val="auto"/>
      <w:sz w:val="22"/>
      <w:szCs w:val="22"/>
      <w:lang w:val="ru-RU" w:eastAsia="en-US" w:bidi="ar-SA"/>
    </w:rPr>
  </w:style>
  <w:style w:type="paragraph" w:styleId="673">
    <w:name w:val="Heading 1"/>
    <w:basedOn w:val="672"/>
    <w:next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  <w:qFormat/>
  </w:style>
  <w:style w:type="table" w:styleId="683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footnote reference"/>
    <w:uiPriority w:val="0"/>
    <w:qFormat/>
    <w:rPr>
      <w:vertAlign w:val="superscript"/>
    </w:rPr>
  </w:style>
  <w:style w:type="character" w:styleId="685">
    <w:name w:val="endnote reference"/>
    <w:uiPriority w:val="0"/>
    <w:qFormat/>
    <w:rPr>
      <w:vertAlign w:val="superscript"/>
    </w:rPr>
  </w:style>
  <w:style w:type="character" w:styleId="686">
    <w:name w:val="Emphasis"/>
    <w:basedOn w:val="682"/>
    <w:uiPriority w:val="20"/>
    <w:qFormat/>
    <w:rPr>
      <w:i/>
      <w:iCs/>
    </w:rPr>
  </w:style>
  <w:style w:type="character" w:styleId="687">
    <w:name w:val="Hyperlink"/>
    <w:uiPriority w:val="99"/>
    <w:semiHidden/>
    <w:unhideWhenUsed/>
    <w:qFormat/>
    <w:rPr>
      <w:color w:val="0000ff"/>
      <w:u w:val="single"/>
    </w:rPr>
  </w:style>
  <w:style w:type="character" w:styleId="688">
    <w:name w:val="Strong"/>
    <w:uiPriority w:val="0"/>
    <w:qFormat/>
    <w:rPr>
      <w:b/>
      <w:bCs/>
    </w:rPr>
  </w:style>
  <w:style w:type="paragraph" w:styleId="689">
    <w:name w:val="Balloon Text"/>
    <w:basedOn w:val="672"/>
    <w:link w:val="752"/>
    <w:uiPriority w:val="99"/>
    <w:semiHidden/>
    <w:unhideWhenUsed/>
    <w:qFormat/>
    <w:pPr>
      <w:spacing w:before="0" w:after="0" w:line="240" w:lineRule="auto"/>
    </w:pPr>
    <w:rPr>
      <w:rFonts w:ascii="Segoe UI" w:hAnsi="Segoe UI"/>
      <w:sz w:val="18"/>
      <w:szCs w:val="18"/>
      <w:lang w:val="en-US"/>
    </w:rPr>
  </w:style>
  <w:style w:type="paragraph" w:styleId="690">
    <w:name w:val="endnote text"/>
    <w:basedOn w:val="672"/>
    <w:link w:val="751"/>
    <w:uiPriority w:val="99"/>
    <w:semiHidden/>
    <w:unhideWhenUsed/>
    <w:qFormat/>
    <w:pPr>
      <w:spacing w:before="0" w:after="0" w:line="240" w:lineRule="auto"/>
    </w:pPr>
    <w:rPr>
      <w:sz w:val="20"/>
    </w:rPr>
  </w:style>
  <w:style w:type="paragraph" w:styleId="691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692">
    <w:name w:val="index 1"/>
    <w:basedOn w:val="672"/>
    <w:next w:val="672"/>
    <w:uiPriority w:val="99"/>
    <w:semiHidden/>
    <w:unhideWhenUsed/>
    <w:qFormat/>
  </w:style>
  <w:style w:type="paragraph" w:styleId="693">
    <w:name w:val="footnote text"/>
    <w:basedOn w:val="672"/>
    <w:link w:val="750"/>
    <w:uiPriority w:val="99"/>
    <w:semiHidden/>
    <w:unhideWhenUsed/>
    <w:qFormat/>
    <w:pPr>
      <w:spacing w:before="0" w:after="40" w:line="240" w:lineRule="auto"/>
    </w:pPr>
    <w:rPr>
      <w:sz w:val="18"/>
    </w:rPr>
  </w:style>
  <w:style w:type="paragraph" w:styleId="694">
    <w:name w:val="toc 8"/>
    <w:basedOn w:val="672"/>
    <w:next w:val="672"/>
    <w:uiPriority w:val="39"/>
    <w:unhideWhenUsed/>
    <w:qFormat/>
    <w:pPr>
      <w:ind w:left="1984"/>
      <w:spacing w:before="0" w:after="57"/>
    </w:pPr>
  </w:style>
  <w:style w:type="paragraph" w:styleId="695">
    <w:name w:val="Header"/>
    <w:basedOn w:val="672"/>
    <w:link w:val="753"/>
    <w:uiPriority w:val="99"/>
    <w:unhideWhenUsed/>
    <w:qFormat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696">
    <w:name w:val="toc 9"/>
    <w:basedOn w:val="672"/>
    <w:next w:val="672"/>
    <w:uiPriority w:val="39"/>
    <w:unhideWhenUsed/>
    <w:qFormat/>
    <w:pPr>
      <w:ind w:left="2268"/>
      <w:spacing w:before="0" w:after="57"/>
    </w:pPr>
  </w:style>
  <w:style w:type="paragraph" w:styleId="697">
    <w:name w:val="toc 7"/>
    <w:basedOn w:val="672"/>
    <w:next w:val="672"/>
    <w:uiPriority w:val="39"/>
    <w:unhideWhenUsed/>
    <w:qFormat/>
    <w:pPr>
      <w:ind w:left="1701"/>
      <w:spacing w:before="0" w:after="57"/>
    </w:pPr>
  </w:style>
  <w:style w:type="paragraph" w:styleId="698">
    <w:name w:val="Body Text"/>
    <w:basedOn w:val="672"/>
    <w:uiPriority w:val="0"/>
    <w:qFormat/>
    <w:pPr>
      <w:spacing w:before="0" w:after="140" w:line="276" w:lineRule="auto"/>
    </w:pPr>
  </w:style>
  <w:style w:type="paragraph" w:styleId="699">
    <w:name w:val="index heading"/>
    <w:basedOn w:val="700"/>
    <w:next w:val="692"/>
    <w:uiPriority w:val="0"/>
    <w:qFormat/>
  </w:style>
  <w:style w:type="paragraph" w:styleId="700" w:customStyle="1">
    <w:name w:val="Заголовок"/>
    <w:basedOn w:val="672"/>
    <w:next w:val="698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01">
    <w:name w:val="toc 1"/>
    <w:basedOn w:val="672"/>
    <w:next w:val="672"/>
    <w:uiPriority w:val="39"/>
    <w:unhideWhenUsed/>
    <w:qFormat/>
    <w:pPr>
      <w:spacing w:before="0" w:after="57"/>
    </w:pPr>
  </w:style>
  <w:style w:type="paragraph" w:styleId="702">
    <w:name w:val="toc 6"/>
    <w:basedOn w:val="672"/>
    <w:next w:val="672"/>
    <w:uiPriority w:val="39"/>
    <w:unhideWhenUsed/>
    <w:qFormat/>
    <w:pPr>
      <w:ind w:left="1417"/>
      <w:spacing w:before="0" w:after="57"/>
    </w:pPr>
  </w:style>
  <w:style w:type="paragraph" w:styleId="703">
    <w:name w:val="table of figures"/>
    <w:basedOn w:val="672"/>
    <w:next w:val="672"/>
    <w:uiPriority w:val="99"/>
    <w:unhideWhenUsed/>
    <w:qFormat/>
    <w:pPr>
      <w:spacing w:before="0" w:after="0"/>
    </w:pPr>
  </w:style>
  <w:style w:type="paragraph" w:styleId="704">
    <w:name w:val="toc 3"/>
    <w:basedOn w:val="672"/>
    <w:next w:val="672"/>
    <w:uiPriority w:val="39"/>
    <w:unhideWhenUsed/>
    <w:qFormat/>
    <w:pPr>
      <w:ind w:left="567"/>
      <w:spacing w:before="0" w:after="57"/>
    </w:pPr>
  </w:style>
  <w:style w:type="paragraph" w:styleId="705">
    <w:name w:val="toc 2"/>
    <w:basedOn w:val="672"/>
    <w:next w:val="672"/>
    <w:uiPriority w:val="39"/>
    <w:unhideWhenUsed/>
    <w:qFormat/>
    <w:pPr>
      <w:ind w:left="283"/>
      <w:spacing w:before="0" w:after="57"/>
    </w:pPr>
  </w:style>
  <w:style w:type="paragraph" w:styleId="706">
    <w:name w:val="toc 4"/>
    <w:basedOn w:val="672"/>
    <w:next w:val="672"/>
    <w:uiPriority w:val="39"/>
    <w:unhideWhenUsed/>
    <w:qFormat/>
    <w:pPr>
      <w:ind w:left="850"/>
      <w:spacing w:before="0" w:after="57"/>
    </w:pPr>
  </w:style>
  <w:style w:type="paragraph" w:styleId="707">
    <w:name w:val="toc 5"/>
    <w:basedOn w:val="672"/>
    <w:next w:val="672"/>
    <w:uiPriority w:val="39"/>
    <w:unhideWhenUsed/>
    <w:qFormat/>
    <w:pPr>
      <w:ind w:left="1134"/>
      <w:spacing w:before="0" w:after="57"/>
    </w:pPr>
  </w:style>
  <w:style w:type="paragraph" w:styleId="708">
    <w:name w:val="Title"/>
    <w:basedOn w:val="672"/>
    <w:next w:val="672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09">
    <w:name w:val="Footer"/>
    <w:basedOn w:val="672"/>
    <w:link w:val="754"/>
    <w:uiPriority w:val="99"/>
    <w:unhideWhenUsed/>
    <w:qFormat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710">
    <w:name w:val="List"/>
    <w:basedOn w:val="698"/>
    <w:uiPriority w:val="0"/>
    <w:qFormat/>
    <w:rPr>
      <w:rFonts w:ascii="PT Astra Serif" w:hAnsi="PT Astra Serif" w:cs="FreeSans"/>
    </w:rPr>
  </w:style>
  <w:style w:type="paragraph" w:styleId="711">
    <w:name w:val="Subtitle"/>
    <w:basedOn w:val="672"/>
    <w:next w:val="672"/>
    <w:link w:val="742"/>
    <w:uiPriority w:val="11"/>
    <w:qFormat/>
    <w:pPr>
      <w:spacing w:before="200" w:after="200"/>
    </w:pPr>
    <w:rPr>
      <w:sz w:val="24"/>
      <w:szCs w:val="24"/>
    </w:rPr>
  </w:style>
  <w:style w:type="table" w:styleId="712">
    <w:name w:val="Table Grid"/>
    <w:basedOn w:val="683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13" w:customStyle="1">
    <w:name w:val="Символ сноски"/>
    <w:uiPriority w:val="99"/>
    <w:unhideWhenUsed/>
    <w:qFormat/>
    <w:rPr>
      <w:vertAlign w:val="superscript"/>
    </w:rPr>
  </w:style>
  <w:style w:type="character" w:styleId="714" w:customStyle="1">
    <w:name w:val="Символ сноски (user)"/>
    <w:uiPriority w:val="0"/>
    <w:qFormat/>
    <w:rPr>
      <w:vertAlign w:val="superscript"/>
    </w:rPr>
  </w:style>
  <w:style w:type="character" w:styleId="71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16" w:customStyle="1">
    <w:name w:val="Символ концевой сноски (user)"/>
    <w:uiPriority w:val="0"/>
    <w:qFormat/>
    <w:rPr>
      <w:vertAlign w:val="superscript"/>
    </w:rPr>
  </w:style>
  <w:style w:type="character" w:styleId="717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18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719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20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6" w:customStyle="1">
    <w:name w:val="Title Char"/>
    <w:uiPriority w:val="10"/>
    <w:qFormat/>
    <w:rPr>
      <w:sz w:val="48"/>
      <w:szCs w:val="48"/>
    </w:rPr>
  </w:style>
  <w:style w:type="character" w:styleId="727" w:customStyle="1">
    <w:name w:val="Subtitle Char"/>
    <w:uiPriority w:val="11"/>
    <w:qFormat/>
    <w:rPr>
      <w:sz w:val="24"/>
      <w:szCs w:val="24"/>
    </w:rPr>
  </w:style>
  <w:style w:type="character" w:styleId="728" w:customStyle="1">
    <w:name w:val="Quote Char"/>
    <w:uiPriority w:val="29"/>
    <w:qFormat/>
    <w:rPr>
      <w:i/>
    </w:rPr>
  </w:style>
  <w:style w:type="character" w:styleId="729" w:customStyle="1">
    <w:name w:val="Intense Quote Char"/>
    <w:uiPriority w:val="30"/>
    <w:qFormat/>
    <w:rPr>
      <w:i/>
    </w:rPr>
  </w:style>
  <w:style w:type="character" w:styleId="730" w:customStyle="1">
    <w:name w:val="Footnote Text Char"/>
    <w:uiPriority w:val="99"/>
    <w:qFormat/>
    <w:rPr>
      <w:sz w:val="18"/>
    </w:rPr>
  </w:style>
  <w:style w:type="character" w:styleId="731" w:customStyle="1">
    <w:name w:val="Endnote Text Char"/>
    <w:uiPriority w:val="99"/>
    <w:qFormat/>
    <w:rPr>
      <w:sz w:val="20"/>
    </w:rPr>
  </w:style>
  <w:style w:type="character" w:styleId="732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733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734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Заголовок Знак"/>
    <w:link w:val="708"/>
    <w:uiPriority w:val="10"/>
    <w:qFormat/>
    <w:rPr>
      <w:sz w:val="48"/>
      <w:szCs w:val="48"/>
    </w:rPr>
  </w:style>
  <w:style w:type="character" w:styleId="742" w:customStyle="1">
    <w:name w:val="Подзаголовок Знак"/>
    <w:link w:val="711"/>
    <w:uiPriority w:val="11"/>
    <w:qFormat/>
    <w:rPr>
      <w:sz w:val="24"/>
      <w:szCs w:val="24"/>
    </w:rPr>
  </w:style>
  <w:style w:type="character" w:styleId="743" w:customStyle="1">
    <w:name w:val="Цитата 2 Знак"/>
    <w:link w:val="744"/>
    <w:uiPriority w:val="29"/>
    <w:qFormat/>
    <w:rPr>
      <w:i/>
    </w:rPr>
  </w:style>
  <w:style w:type="paragraph" w:styleId="744">
    <w:name w:val="Quote"/>
    <w:basedOn w:val="672"/>
    <w:next w:val="672"/>
    <w:link w:val="743"/>
    <w:uiPriority w:val="29"/>
    <w:qFormat/>
    <w:pPr>
      <w:ind w:left="720" w:right="720"/>
    </w:pPr>
    <w:rPr>
      <w:i/>
    </w:rPr>
  </w:style>
  <w:style w:type="character" w:styleId="745" w:customStyle="1">
    <w:name w:val="Выделенная цитата Знак"/>
    <w:link w:val="746"/>
    <w:uiPriority w:val="30"/>
    <w:qFormat/>
    <w:rPr>
      <w:i/>
    </w:rPr>
  </w:style>
  <w:style w:type="paragraph" w:styleId="746">
    <w:name w:val="Intense Quote"/>
    <w:basedOn w:val="672"/>
    <w:next w:val="672"/>
    <w:link w:val="74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 w:customStyle="1">
    <w:name w:val="Header Char"/>
    <w:uiPriority w:val="99"/>
    <w:qFormat/>
  </w:style>
  <w:style w:type="character" w:styleId="748" w:customStyle="1">
    <w:name w:val="Footer Char"/>
    <w:uiPriority w:val="99"/>
    <w:qFormat/>
  </w:style>
  <w:style w:type="character" w:styleId="749" w:customStyle="1">
    <w:name w:val="Caption Char"/>
    <w:uiPriority w:val="99"/>
    <w:qFormat/>
  </w:style>
  <w:style w:type="character" w:styleId="750" w:customStyle="1">
    <w:name w:val="Текст сноски Знак"/>
    <w:link w:val="693"/>
    <w:uiPriority w:val="99"/>
    <w:qFormat/>
    <w:rPr>
      <w:sz w:val="18"/>
    </w:rPr>
  </w:style>
  <w:style w:type="character" w:styleId="751" w:customStyle="1">
    <w:name w:val="Текст концевой сноски Знак"/>
    <w:link w:val="690"/>
    <w:uiPriority w:val="99"/>
    <w:qFormat/>
    <w:rPr>
      <w:sz w:val="20"/>
    </w:rPr>
  </w:style>
  <w:style w:type="character" w:styleId="752" w:customStyle="1">
    <w:name w:val="Текст выноски Знак"/>
    <w:link w:val="689"/>
    <w:uiPriority w:val="99"/>
    <w:semiHidden/>
    <w:qFormat/>
    <w:rPr>
      <w:rFonts w:ascii="Segoe UI" w:hAnsi="Segoe UI" w:cs="Segoe UI"/>
      <w:sz w:val="18"/>
      <w:szCs w:val="18"/>
    </w:rPr>
  </w:style>
  <w:style w:type="character" w:styleId="753" w:customStyle="1">
    <w:name w:val="Верхний колонтитул Знак"/>
    <w:link w:val="695"/>
    <w:uiPriority w:val="99"/>
    <w:qFormat/>
    <w:rPr>
      <w:sz w:val="22"/>
      <w:szCs w:val="22"/>
      <w:lang w:eastAsia="en-US"/>
    </w:rPr>
  </w:style>
  <w:style w:type="character" w:styleId="754" w:customStyle="1">
    <w:name w:val="Нижний колонтитул Знак"/>
    <w:link w:val="709"/>
    <w:uiPriority w:val="99"/>
    <w:qFormat/>
    <w:rPr>
      <w:sz w:val="22"/>
      <w:szCs w:val="22"/>
      <w:lang w:eastAsia="en-US"/>
    </w:rPr>
  </w:style>
  <w:style w:type="character" w:styleId="755" w:customStyle="1">
    <w:name w:val="s_10"/>
    <w:basedOn w:val="682"/>
    <w:uiPriority w:val="0"/>
    <w:qFormat/>
  </w:style>
  <w:style w:type="character" w:styleId="756" w:customStyle="1">
    <w:name w:val="apple-converted-space"/>
    <w:basedOn w:val="682"/>
    <w:uiPriority w:val="0"/>
    <w:qFormat/>
  </w:style>
  <w:style w:type="character" w:styleId="757" w:customStyle="1">
    <w:name w:val="fontstyle01"/>
    <w:uiPriority w:val="0"/>
    <w:qFormat/>
    <w:rPr>
      <w:rFonts w:ascii="TimesNewRomanPSMT" w:hAnsi="TimesNewRomanPSMT"/>
      <w:color w:val="000000"/>
      <w:sz w:val="28"/>
      <w:szCs w:val="28"/>
    </w:rPr>
  </w:style>
  <w:style w:type="character" w:styleId="758" w:customStyle="1">
    <w:name w:val="Гипертекстовая ссылка"/>
    <w:uiPriority w:val="67"/>
    <w:qFormat/>
    <w:rPr>
      <w:color w:val="106bbe"/>
    </w:rPr>
  </w:style>
  <w:style w:type="paragraph" w:styleId="759" w:customStyle="1">
    <w:name w:val="Указатель1"/>
    <w:basedOn w:val="672"/>
    <w:uiPriority w:val="0"/>
    <w:qFormat/>
    <w:pPr>
      <w:suppressLineNumbers/>
    </w:pPr>
    <w:rPr>
      <w:rFonts w:ascii="PT Astra Serif" w:hAnsi="PT Astra Serif" w:cs="FreeSans"/>
    </w:rPr>
  </w:style>
  <w:style w:type="paragraph" w:styleId="760" w:customStyle="1">
    <w:name w:val="Заголовок (user)"/>
    <w:basedOn w:val="672"/>
    <w:next w:val="698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61" w:customStyle="1">
    <w:name w:val="Указатель (user)"/>
    <w:basedOn w:val="672"/>
    <w:uiPriority w:val="0"/>
    <w:qFormat/>
    <w:pPr>
      <w:suppressLineNumbers/>
    </w:pPr>
    <w:rPr>
      <w:rFonts w:ascii="PT Astra Serif" w:hAnsi="PT Astra Serif" w:cs="FreeSans"/>
    </w:rPr>
  </w:style>
  <w:style w:type="paragraph" w:styleId="762" w:customStyle="1">
    <w:name w:val="Колонтитулы"/>
    <w:basedOn w:val="672"/>
    <w:uiPriority w:val="0"/>
    <w:qFormat/>
  </w:style>
  <w:style w:type="paragraph" w:styleId="763" w:customStyle="1">
    <w:name w:val="Колонтитулы (user)"/>
    <w:basedOn w:val="672"/>
    <w:uiPriority w:val="0"/>
    <w:qFormat/>
  </w:style>
  <w:style w:type="paragraph" w:styleId="764">
    <w:name w:val="List Paragraph"/>
    <w:basedOn w:val="672"/>
    <w:uiPriority w:val="34"/>
    <w:qFormat/>
    <w:pPr>
      <w:contextualSpacing/>
      <w:ind w:left="720"/>
      <w:spacing w:before="0" w:after="160"/>
    </w:pPr>
  </w:style>
  <w:style w:type="paragraph" w:styleId="765">
    <w:name w:val="No Spacing"/>
    <w:basedOn w:val="672"/>
    <w:uiPriority w:val="1"/>
    <w:qFormat/>
    <w:rPr>
      <w:rFonts w:ascii="Calibri" w:hAnsi="Calibri" w:eastAsia="Calibri" w:cs="Times New Roman"/>
      <w:lang w:val="ru-RU" w:eastAsia="zh-CN" w:bidi="ar-SA"/>
    </w:rPr>
  </w:style>
  <w:style w:type="paragraph" w:styleId="766" w:customStyle="1">
    <w:name w:val="TOC Heading"/>
    <w:uiPriority w:val="39"/>
    <w:unhideWhenUsed/>
    <w:qFormat/>
    <w:pPr>
      <w:jc w:val="left"/>
      <w:spacing w:before="0" w:after="0"/>
      <w:widowControl/>
    </w:pPr>
    <w:rPr>
      <w:rFonts w:hint="default"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767" w:customStyle="1">
    <w:name w:val="ConsPlusNormal"/>
    <w:next w:val="672"/>
    <w:uiPriority w:val="0"/>
    <w:qFormat/>
    <w:pPr>
      <w:jc w:val="left"/>
      <w:spacing w:before="0" w:after="0"/>
      <w:widowControl w:val="off"/>
    </w:pPr>
    <w:rPr>
      <w:rFonts w:hint="default" w:ascii="Calibri" w:hAnsi="Calibri" w:eastAsia="Times New Roman" w:cs="Calibri"/>
      <w:color w:val="auto"/>
      <w:sz w:val="22"/>
      <w:szCs w:val="20"/>
      <w:lang w:val="ru-RU" w:eastAsia="ru-RU" w:bidi="ar-SA"/>
    </w:rPr>
  </w:style>
  <w:style w:type="paragraph" w:styleId="768" w:customStyle="1">
    <w:name w:val="1"/>
    <w:basedOn w:val="672"/>
    <w:uiPriority w:val="0"/>
    <w:qFormat/>
    <w:pPr>
      <w:spacing w:line="240" w:lineRule="exact"/>
    </w:pPr>
    <w:rPr>
      <w:rFonts w:ascii="Verdana" w:hAnsi="Verdana" w:eastAsia="Times New Roman"/>
      <w:sz w:val="20"/>
      <w:szCs w:val="20"/>
      <w:lang w:val="en-US"/>
    </w:rPr>
  </w:style>
  <w:style w:type="paragraph" w:styleId="769" w:customStyle="1">
    <w:name w:val="Содержимое таблицы"/>
    <w:basedOn w:val="672"/>
    <w:uiPriority w:val="0"/>
    <w:qFormat/>
    <w:pPr>
      <w:widowControl w:val="off"/>
      <w:suppressLineNumbers/>
    </w:pPr>
  </w:style>
  <w:style w:type="paragraph" w:styleId="770" w:customStyle="1">
    <w:name w:val="Содержимое таблицы (user)"/>
    <w:basedOn w:val="672"/>
    <w:uiPriority w:val="0"/>
    <w:qFormat/>
    <w:pPr>
      <w:widowControl w:val="off"/>
      <w:suppressLineNumbers/>
    </w:pPr>
  </w:style>
  <w:style w:type="paragraph" w:styleId="771" w:customStyle="1">
    <w:name w:val="Заголовок таблицы (user)"/>
    <w:basedOn w:val="770"/>
    <w:uiPriority w:val="0"/>
    <w:qFormat/>
    <w:pPr>
      <w:jc w:val="center"/>
      <w:suppressLineNumbers/>
    </w:pPr>
    <w:rPr>
      <w:b/>
      <w:bCs/>
    </w:rPr>
  </w:style>
  <w:style w:type="table" w:styleId="772" w:customStyle="1">
    <w:name w:val="Table Grid Light"/>
    <w:uiPriority w:val="59"/>
    <w:qFormat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 w:customStyle="1">
    <w:name w:val="Plain Table 1"/>
    <w:uiPriority w:val="59"/>
    <w:qFormat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 w:customStyle="1">
    <w:name w:val="Plain Table 2"/>
    <w:uiPriority w:val="59"/>
    <w:qFormat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 w:customStyle="1">
    <w:name w:val="Plain Table 3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Plain Table 4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Plain Table 5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1 Light"/>
    <w:uiPriority w:val="99"/>
    <w:qFormat/>
    <w:rPr>
      <w:lang w:eastAsia="zh-CN"/>
    </w:rPr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1 Light - Accent 1"/>
    <w:uiPriority w:val="99"/>
    <w:qFormat/>
    <w:rPr>
      <w:lang w:eastAsia="zh-CN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1 Light - Accent 2"/>
    <w:uiPriority w:val="99"/>
    <w:qFormat/>
    <w:rPr>
      <w:lang w:eastAsia="zh-CN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1 Light - Accent 3"/>
    <w:uiPriority w:val="99"/>
    <w:qFormat/>
    <w:rPr>
      <w:lang w:eastAsia="zh-CN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1 Light - Accent 4"/>
    <w:uiPriority w:val="99"/>
    <w:qFormat/>
    <w:rPr>
      <w:lang w:eastAsia="zh-CN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1 Light - Accent 5"/>
    <w:uiPriority w:val="99"/>
    <w:qFormat/>
    <w:rPr>
      <w:lang w:eastAsia="zh-CN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1 Light - Accent 6"/>
    <w:uiPriority w:val="99"/>
    <w:qFormat/>
    <w:rPr>
      <w:lang w:eastAsia="zh-CN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2"/>
    <w:uiPriority w:val="99"/>
    <w:qFormat/>
    <w:rPr>
      <w:lang w:eastAsia="zh-CN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2 - Accent 1"/>
    <w:uiPriority w:val="99"/>
    <w:qFormat/>
    <w:rPr>
      <w:lang w:eastAsia="zh-CN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2 - Accent 2"/>
    <w:uiPriority w:val="99"/>
    <w:qFormat/>
    <w:rPr>
      <w:lang w:eastAsia="zh-CN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2 - Accent 3"/>
    <w:uiPriority w:val="99"/>
    <w:qFormat/>
    <w:rPr>
      <w:lang w:eastAsia="zh-CN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2 - Accent 4"/>
    <w:uiPriority w:val="99"/>
    <w:qFormat/>
    <w:rPr>
      <w:lang w:eastAsia="zh-CN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2 - Accent 5"/>
    <w:uiPriority w:val="99"/>
    <w:qFormat/>
    <w:rPr>
      <w:lang w:eastAsia="zh-CN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2 - Accent 6"/>
    <w:uiPriority w:val="99"/>
    <w:qFormat/>
    <w:rPr>
      <w:lang w:eastAsia="zh-CN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3"/>
    <w:uiPriority w:val="99"/>
    <w:qFormat/>
    <w:rPr>
      <w:lang w:eastAsia="zh-CN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3 - Accent 1"/>
    <w:uiPriority w:val="99"/>
    <w:qFormat/>
    <w:rPr>
      <w:lang w:eastAsia="zh-CN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3 - Accent 2"/>
    <w:uiPriority w:val="99"/>
    <w:qFormat/>
    <w:rPr>
      <w:lang w:eastAsia="zh-CN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3 - Accent 3"/>
    <w:uiPriority w:val="99"/>
    <w:qFormat/>
    <w:rPr>
      <w:lang w:eastAsia="zh-CN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3 - Accent 4"/>
    <w:uiPriority w:val="99"/>
    <w:qFormat/>
    <w:rPr>
      <w:lang w:eastAsia="zh-CN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3 - Accent 5"/>
    <w:uiPriority w:val="99"/>
    <w:qFormat/>
    <w:rPr>
      <w:lang w:eastAsia="zh-CN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3 - Accent 6"/>
    <w:uiPriority w:val="99"/>
    <w:qFormat/>
    <w:rPr>
      <w:lang w:eastAsia="zh-CN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4"/>
    <w:uiPriority w:val="59"/>
    <w:qFormat/>
    <w:rPr>
      <w:lang w:eastAsia="zh-CN"/>
    </w:rPr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4 - Accent 1"/>
    <w:uiPriority w:val="59"/>
    <w:qFormat/>
    <w:rPr>
      <w:lang w:eastAsia="zh-CN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4 - Accent 2"/>
    <w:uiPriority w:val="59"/>
    <w:qFormat/>
    <w:rPr>
      <w:lang w:eastAsia="zh-CN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4 - Accent 3"/>
    <w:uiPriority w:val="59"/>
    <w:qFormat/>
    <w:rPr>
      <w:lang w:eastAsia="zh-CN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4 - Accent 4"/>
    <w:uiPriority w:val="59"/>
    <w:qFormat/>
    <w:rPr>
      <w:lang w:eastAsia="zh-CN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4 - Accent 5"/>
    <w:uiPriority w:val="59"/>
    <w:qFormat/>
    <w:rPr>
      <w:lang w:eastAsia="zh-CN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4 - Accent 6"/>
    <w:uiPriority w:val="59"/>
    <w:qFormat/>
    <w:rPr>
      <w:lang w:eastAsia="zh-CN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5 Dark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5 Dark- Accent 1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5 Dark - Accent 2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5 Dark - Accent 3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5 Dark- Accent 4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5 Dark - Accent 5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5 Dark - Accent 6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6 Colorful"/>
    <w:uiPriority w:val="99"/>
    <w:qFormat/>
    <w:rPr>
      <w:lang w:eastAsia="zh-CN"/>
    </w:rPr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6 Colorful - Accent 1"/>
    <w:uiPriority w:val="99"/>
    <w:qFormat/>
    <w:rPr>
      <w:lang w:eastAsia="zh-CN"/>
    </w:rPr>
    <w:tblP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6 Colorful - Accent 2"/>
    <w:uiPriority w:val="99"/>
    <w:qFormat/>
    <w:rPr>
      <w:lang w:eastAsia="zh-CN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6 Colorful - Accent 3"/>
    <w:uiPriority w:val="99"/>
    <w:qFormat/>
    <w:rPr>
      <w:lang w:eastAsia="zh-CN"/>
    </w:rPr>
    <w:tblP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6 Colorful - Accent 4"/>
    <w:uiPriority w:val="99"/>
    <w:qFormat/>
    <w:rPr>
      <w:lang w:eastAsia="zh-CN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6 Colorful - Accent 5"/>
    <w:uiPriority w:val="99"/>
    <w:qFormat/>
    <w:rPr>
      <w:lang w:eastAsia="zh-CN"/>
    </w:rPr>
    <w:tblP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6 Colorful - Accent 6"/>
    <w:uiPriority w:val="99"/>
    <w:qFormat/>
    <w:rPr>
      <w:lang w:eastAsia="zh-CN"/>
    </w:rPr>
    <w:tblP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7 Colorful"/>
    <w:uiPriority w:val="99"/>
    <w:qFormat/>
    <w:rPr>
      <w:lang w:eastAsia="zh-CN"/>
    </w:rPr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7 Colorful - Accent 1"/>
    <w:uiPriority w:val="99"/>
    <w:qFormat/>
    <w:rPr>
      <w:lang w:eastAsia="zh-CN"/>
    </w:rPr>
    <w:tblP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7 Colorful - Accent 2"/>
    <w:uiPriority w:val="99"/>
    <w:qFormat/>
    <w:rPr>
      <w:lang w:eastAsia="zh-CN"/>
    </w:rPr>
    <w:tblP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7 Colorful - Accent 3"/>
    <w:uiPriority w:val="99"/>
    <w:qFormat/>
    <w:rPr>
      <w:lang w:eastAsia="zh-CN"/>
    </w:rPr>
    <w:tblP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7 Colorful - Accent 4"/>
    <w:uiPriority w:val="99"/>
    <w:qFormat/>
    <w:rPr>
      <w:lang w:eastAsia="zh-CN"/>
    </w:rPr>
    <w:tblP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7 Colorful - Accent 5"/>
    <w:uiPriority w:val="99"/>
    <w:qFormat/>
    <w:rPr>
      <w:lang w:eastAsia="zh-CN"/>
    </w:rPr>
    <w:tblP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7 Colorful - Accent 6"/>
    <w:uiPriority w:val="99"/>
    <w:qFormat/>
    <w:rPr>
      <w:lang w:eastAsia="zh-CN"/>
    </w:rPr>
    <w:tblP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1 Light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1 Light - Accent 1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1 Light - Accent 2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1 Light - Accent 3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1 Light - Accent 4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1 Light - Accent 5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1 Light - Accent 6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2"/>
    <w:uiPriority w:val="99"/>
    <w:qFormat/>
    <w:rPr>
      <w:lang w:eastAsia="zh-CN"/>
    </w:rPr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2 - Accent 1"/>
    <w:uiPriority w:val="99"/>
    <w:qFormat/>
    <w:rPr>
      <w:lang w:eastAsia="zh-CN"/>
    </w:rPr>
    <w:tblPr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2 - Accent 2"/>
    <w:uiPriority w:val="99"/>
    <w:qFormat/>
    <w:rPr>
      <w:lang w:eastAsia="zh-CN"/>
    </w:rPr>
    <w:tblPr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2 - Accent 3"/>
    <w:uiPriority w:val="99"/>
    <w:qFormat/>
    <w:rPr>
      <w:lang w:eastAsia="zh-CN"/>
    </w:rPr>
    <w:tblPr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2 - Accent 4"/>
    <w:uiPriority w:val="99"/>
    <w:qFormat/>
    <w:rPr>
      <w:lang w:eastAsia="zh-CN"/>
    </w:rPr>
    <w:tblPr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2 - Accent 5"/>
    <w:uiPriority w:val="99"/>
    <w:qFormat/>
    <w:rPr>
      <w:lang w:eastAsia="zh-CN"/>
    </w:rPr>
    <w:tblPr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2 - Accent 6"/>
    <w:uiPriority w:val="99"/>
    <w:qFormat/>
    <w:rPr>
      <w:lang w:eastAsia="zh-CN"/>
    </w:rPr>
    <w:tblPr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3"/>
    <w:uiPriority w:val="99"/>
    <w:qFormat/>
    <w:rPr>
      <w:lang w:eastAsia="zh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3 - Accent 1"/>
    <w:uiPriority w:val="99"/>
    <w:qFormat/>
    <w:rPr>
      <w:lang w:eastAsia="zh-CN"/>
    </w:rPr>
    <w:tblP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3 - Accent 2"/>
    <w:uiPriority w:val="99"/>
    <w:qFormat/>
    <w:rPr>
      <w:lang w:eastAsia="zh-CN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3 - Accent 3"/>
    <w:uiPriority w:val="99"/>
    <w:qFormat/>
    <w:rPr>
      <w:lang w:eastAsia="zh-CN"/>
    </w:rPr>
    <w:tblP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3 - Accent 4"/>
    <w:uiPriority w:val="99"/>
    <w:qFormat/>
    <w:rPr>
      <w:lang w:eastAsia="zh-CN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3 - Accent 5"/>
    <w:uiPriority w:val="99"/>
    <w:qFormat/>
    <w:rPr>
      <w:lang w:eastAsia="zh-CN"/>
    </w:rPr>
    <w:tblP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3 - Accent 6"/>
    <w:uiPriority w:val="99"/>
    <w:qFormat/>
    <w:rPr>
      <w:lang w:eastAsia="zh-CN"/>
    </w:rPr>
    <w:tblP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4"/>
    <w:uiPriority w:val="99"/>
    <w:qFormat/>
    <w:rPr>
      <w:lang w:eastAsia="zh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4 - Accent 1"/>
    <w:uiPriority w:val="99"/>
    <w:qFormat/>
    <w:rPr>
      <w:lang w:eastAsia="zh-CN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4 - Accent 2"/>
    <w:uiPriority w:val="99"/>
    <w:qFormat/>
    <w:rPr>
      <w:lang w:eastAsia="zh-CN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4 - Accent 3"/>
    <w:uiPriority w:val="99"/>
    <w:qFormat/>
    <w:rPr>
      <w:lang w:eastAsia="zh-CN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4 - Accent 4"/>
    <w:uiPriority w:val="99"/>
    <w:qFormat/>
    <w:rPr>
      <w:lang w:eastAsia="zh-CN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4 - Accent 5"/>
    <w:uiPriority w:val="99"/>
    <w:qFormat/>
    <w:rPr>
      <w:lang w:eastAsia="zh-CN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4 - Accent 6"/>
    <w:uiPriority w:val="99"/>
    <w:qFormat/>
    <w:rPr>
      <w:lang w:eastAsia="zh-CN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5 Dark"/>
    <w:uiPriority w:val="99"/>
    <w:qFormat/>
    <w:rPr>
      <w:lang w:eastAsia="zh-CN"/>
    </w:rPr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5 Dark - Accent 1"/>
    <w:uiPriority w:val="99"/>
    <w:qFormat/>
    <w:rPr>
      <w:lang w:eastAsia="zh-CN"/>
    </w:rPr>
    <w:tblP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5 Dark - Accent 2"/>
    <w:uiPriority w:val="99"/>
    <w:qFormat/>
    <w:rPr>
      <w:lang w:eastAsia="zh-CN"/>
    </w:rPr>
    <w:tblP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5 Dark - Accent 3"/>
    <w:uiPriority w:val="99"/>
    <w:qFormat/>
    <w:rPr>
      <w:lang w:eastAsia="zh-CN"/>
    </w:rPr>
    <w:tblP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5 Dark - Accent 4"/>
    <w:uiPriority w:val="99"/>
    <w:qFormat/>
    <w:rPr>
      <w:lang w:eastAsia="zh-CN"/>
    </w:rPr>
    <w:tblP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5 Dark - Accent 5"/>
    <w:uiPriority w:val="99"/>
    <w:qFormat/>
    <w:rPr>
      <w:lang w:eastAsia="zh-CN"/>
    </w:rPr>
    <w:tblP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5 Dark - Accent 6"/>
    <w:uiPriority w:val="99"/>
    <w:qFormat/>
    <w:rPr>
      <w:lang w:eastAsia="zh-CN"/>
    </w:rPr>
    <w:tblP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6 Colorful"/>
    <w:uiPriority w:val="99"/>
    <w:qFormat/>
    <w:rPr>
      <w:lang w:eastAsia="zh-CN"/>
    </w:rPr>
    <w:tblPr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6 Colorful - Accent 1"/>
    <w:uiPriority w:val="99"/>
    <w:qFormat/>
    <w:rPr>
      <w:lang w:eastAsia="zh-CN"/>
    </w:rPr>
    <w:tblPr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6 Colorful - Accent 2"/>
    <w:uiPriority w:val="99"/>
    <w:qFormat/>
    <w:rPr>
      <w:lang w:eastAsia="zh-CN"/>
    </w:rPr>
    <w:tblPr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6 Colorful - Accent 3"/>
    <w:uiPriority w:val="99"/>
    <w:qFormat/>
    <w:rPr>
      <w:lang w:eastAsia="zh-CN"/>
    </w:rPr>
    <w:tblPr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6 Colorful - Accent 4"/>
    <w:uiPriority w:val="99"/>
    <w:qFormat/>
    <w:rPr>
      <w:lang w:eastAsia="zh-CN"/>
    </w:rPr>
    <w:tblPr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6 Colorful - Accent 5"/>
    <w:uiPriority w:val="99"/>
    <w:qFormat/>
    <w:rPr>
      <w:lang w:eastAsia="zh-CN"/>
    </w:rPr>
    <w:tblPr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6 Colorful - Accent 6"/>
    <w:uiPriority w:val="99"/>
    <w:qFormat/>
    <w:rPr>
      <w:lang w:eastAsia="zh-CN"/>
    </w:rPr>
    <w:tblPr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7 Colorful"/>
    <w:uiPriority w:val="99"/>
    <w:qFormat/>
    <w:rPr>
      <w:lang w:eastAsia="zh-CN"/>
    </w:rPr>
    <w:tblPr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7 Colorful - Accent 1"/>
    <w:uiPriority w:val="99"/>
    <w:qFormat/>
    <w:rPr>
      <w:lang w:eastAsia="zh-CN"/>
    </w:rPr>
    <w:tblPr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7 Colorful - Accent 2"/>
    <w:uiPriority w:val="99"/>
    <w:qFormat/>
    <w:rPr>
      <w:lang w:eastAsia="zh-CN"/>
    </w:rPr>
    <w:tblPr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7 Colorful - Accent 3"/>
    <w:uiPriority w:val="99"/>
    <w:qFormat/>
    <w:rPr>
      <w:lang w:eastAsia="zh-CN"/>
    </w:rPr>
    <w:tblPr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7 Colorful - Accent 4"/>
    <w:uiPriority w:val="99"/>
    <w:qFormat/>
    <w:rPr>
      <w:lang w:eastAsia="zh-CN"/>
    </w:rPr>
    <w:tblPr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7 Colorful - Accent 5"/>
    <w:uiPriority w:val="99"/>
    <w:qFormat/>
    <w:rPr>
      <w:lang w:eastAsia="zh-CN"/>
    </w:rPr>
    <w:tblPr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7 Colorful - Accent 6"/>
    <w:uiPriority w:val="99"/>
    <w:qFormat/>
    <w:rPr>
      <w:lang w:eastAsia="zh-CN"/>
    </w:rPr>
    <w:tblPr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ned - Accent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ned - Accent 1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ned - Accent 2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ned - Accent 3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ned - Accent 4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ned - Accent 5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ned - Accent 6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&amp; Lined - Accent"/>
    <w:uiPriority w:val="99"/>
    <w:qFormat/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&amp; Lined - Accent 1"/>
    <w:uiPriority w:val="99"/>
    <w:qFormat/>
    <w:tblP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&amp; Lined - Accent 2"/>
    <w:uiPriority w:val="99"/>
    <w:qFormat/>
    <w:tblP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&amp; Lined - Accent 3"/>
    <w:uiPriority w:val="99"/>
    <w:qFormat/>
    <w:tblP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&amp; Lined - Accent 4"/>
    <w:uiPriority w:val="99"/>
    <w:qFormat/>
    <w:tblP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&amp; Lined - Accent 5"/>
    <w:uiPriority w:val="99"/>
    <w:qFormat/>
    <w:tblP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&amp; Lined - Accent 6"/>
    <w:uiPriority w:val="99"/>
    <w:qFormat/>
    <w:tblP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"/>
    <w:uiPriority w:val="99"/>
    <w:qFormat/>
    <w:rPr>
      <w:lang w:eastAsia="zh-CN"/>
    </w:r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 - Accent 1"/>
    <w:uiPriority w:val="99"/>
    <w:qFormat/>
    <w:rPr>
      <w:lang w:eastAsia="zh-CN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Bordered - Accent 2"/>
    <w:uiPriority w:val="99"/>
    <w:qFormat/>
    <w:rPr>
      <w:lang w:eastAsia="zh-CN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Bordered - Accent 3"/>
    <w:uiPriority w:val="99"/>
    <w:qFormat/>
    <w:rPr>
      <w:lang w:eastAsia="zh-CN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Bordered - Accent 4"/>
    <w:uiPriority w:val="99"/>
    <w:qFormat/>
    <w:rPr>
      <w:lang w:eastAsia="zh-CN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Bordered - Accent 5"/>
    <w:uiPriority w:val="99"/>
    <w:qFormat/>
    <w:rPr>
      <w:lang w:eastAsia="zh-CN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Bordered - Accent 6"/>
    <w:uiPriority w:val="99"/>
    <w:qFormat/>
    <w:rPr>
      <w:lang w:eastAsia="zh-CN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numbering" w:styleId="137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Microsoft</Compan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Брынцева Елена Анатольевна</dc:creator>
  <cp:revision>126</cp:revision>
  <dcterms:created xsi:type="dcterms:W3CDTF">2022-12-24T03:10:00Z</dcterms:created>
  <dcterms:modified xsi:type="dcterms:W3CDTF">2026-10-27T07:10:11Z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