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/>
      <w:bookmarkStart w:id="0" w:name="Par118"/>
      <w:r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/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оценке фактического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воздействия</w:t>
      </w:r>
      <w:r/>
    </w:p>
    <w:p>
      <w:pPr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/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Общая информация: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 Наименование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нормативного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акта: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27 апреля </w:t>
        <w:br/>
        <w:t xml:space="preserve">2005 года № 89-пп «Об утверждении Правил установления и использования придорожных полос территориальных автомобильных дорог общего пользования Белгородской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 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опубликования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источник официального опубликования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«Белгородские известия», N 79-80, 13.05.2005 г.,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Официальный интернет портал правовой информации, Вестник нормативных правовых актов, справочно-правовые системы (Консультант Плюс, Гарант), федеральный регистр НПА.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 Дата вступления в силу акта и его отдельных положений: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вступил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Сроки проведения публичного обсуждения нормативного правового акта: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начало «</w:t>
      </w:r>
      <w:r>
        <w:rPr>
          <w:sz w:val="28"/>
          <w:szCs w:val="28"/>
          <w:highlight w:val="none"/>
        </w:rPr>
        <w:t xml:space="preserve">14» августа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none"/>
        </w:rPr>
        <w:t xml:space="preserve">24 </w:t>
      </w:r>
      <w:r>
        <w:rPr>
          <w:sz w:val="28"/>
          <w:szCs w:val="28"/>
          <w:highlight w:val="none"/>
        </w:rPr>
        <w:t xml:space="preserve">г.;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окончание «</w:t>
      </w:r>
      <w:r>
        <w:rPr>
          <w:sz w:val="28"/>
          <w:szCs w:val="28"/>
          <w:highlight w:val="none"/>
        </w:rPr>
        <w:t xml:space="preserve">10» сентября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none"/>
        </w:rPr>
        <w:t xml:space="preserve">24 </w:t>
      </w:r>
      <w:r>
        <w:rPr>
          <w:sz w:val="28"/>
          <w:szCs w:val="28"/>
          <w:highlight w:val="none"/>
        </w:rPr>
        <w:t xml:space="preserve">г.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сполнительный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составитель </w:t>
      </w:r>
      <w:r>
        <w:rPr>
          <w:sz w:val="28"/>
          <w:szCs w:val="28"/>
        </w:rPr>
        <w:t xml:space="preserve">отчета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оценке фактического воздействия</w:t>
      </w:r>
      <w:r>
        <w:rPr>
          <w:sz w:val="28"/>
          <w:szCs w:val="28"/>
        </w:rPr>
        <w:t xml:space="preserve"> (орган – разработчик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 </w:t>
      </w:r>
      <w:bookmarkStart w:id="1" w:name="_Hlk168305295"/>
      <w:r>
        <w:rPr>
          <w:sz w:val="28"/>
          <w:szCs w:val="28"/>
        </w:rPr>
        <w:t xml:space="preserve">министерство автомобильных дорог и транспорта Белгородской области</w:t>
      </w:r>
      <w:bookmarkEnd w:id="1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Контактная информация об исполнителе в органе-разработчике: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Киктенко Евгений Викторович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sz w:val="28"/>
          <w:szCs w:val="28"/>
        </w:rPr>
        <w:t xml:space="preserve">заместитель начальника отдела бюджетного финансирования и правового обеспечения </w:t>
      </w:r>
      <w:r>
        <w:rPr>
          <w:sz w:val="28"/>
          <w:szCs w:val="28"/>
        </w:rPr>
        <w:t xml:space="preserve">министерства автомобильных дорог и транспорта Белгородской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(4722) 33-52-47. </w:t>
      </w:r>
      <w:r>
        <w:rPr>
          <w:rFonts w:eastAsia="Calibri"/>
          <w:b/>
          <w:bCs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Адрес электронной почты: kiktenko_ev@belregion.ru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Результаты п</w:t>
      </w:r>
      <w:r>
        <w:rPr>
          <w:bCs/>
          <w:sz w:val="28"/>
          <w:szCs w:val="28"/>
        </w:rPr>
        <w:t xml:space="preserve">роведени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оценки регулирующего воздействия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отношении проекта акта</w:t>
      </w:r>
      <w:r>
        <w:rPr>
          <w:bCs/>
          <w:sz w:val="28"/>
          <w:szCs w:val="28"/>
        </w:rPr>
        <w:t xml:space="preserve"> (при наличии)</w:t>
      </w:r>
      <w:r>
        <w:rPr>
          <w:bCs/>
          <w:sz w:val="28"/>
          <w:szCs w:val="28"/>
        </w:rPr>
        <w:t xml:space="preserve">: не проводилась.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 </w:t>
      </w:r>
      <w:r>
        <w:rPr>
          <w:bCs/>
          <w:sz w:val="28"/>
          <w:szCs w:val="28"/>
        </w:rPr>
        <w:t xml:space="preserve">Сроки проведения публичного обсуждения проекта нормативного правового акта</w:t>
      </w:r>
      <w:r>
        <w:rPr>
          <w:sz w:val="28"/>
          <w:szCs w:val="28"/>
        </w:rPr>
        <w:t xml:space="preserve">: -.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сполнительн</w:t>
      </w:r>
      <w:r>
        <w:rPr>
          <w:sz w:val="28"/>
          <w:szCs w:val="28"/>
        </w:rPr>
        <w:t xml:space="preserve">ый 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составитель </w:t>
      </w:r>
      <w:r>
        <w:rPr>
          <w:sz w:val="28"/>
          <w:szCs w:val="28"/>
        </w:rPr>
        <w:t xml:space="preserve">отчета</w:t>
      </w:r>
      <w:r>
        <w:rPr>
          <w:sz w:val="28"/>
          <w:szCs w:val="28"/>
        </w:rPr>
        <w:t xml:space="preserve"> об оценке регулирующего воздействия: -.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 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предложения: -.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 Сведения о структурных подразделениях </w:t>
      </w:r>
      <w:r>
        <w:rPr>
          <w:sz w:val="28"/>
          <w:szCs w:val="28"/>
        </w:rPr>
        <w:t xml:space="preserve">органа-</w:t>
      </w:r>
      <w:r>
        <w:rPr>
          <w:sz w:val="28"/>
          <w:szCs w:val="28"/>
        </w:rPr>
        <w:t xml:space="preserve">разработчика, рассмотревших представленные предложения: -.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 Полный электронный адрес размещения документов по оценке регулирующего воздействия проекта нормативного правового акта: -.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 Иные сведения о проведении публичного обсуждения проекта нормативного правового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 Дата и реквизиты заключения об оценке регулирующего воздействия проекта нормативного правового акта:</w:t>
      </w:r>
      <w:r>
        <w:rPr>
          <w:sz w:val="28"/>
          <w:szCs w:val="28"/>
        </w:rPr>
        <w:t xml:space="preserve"> -.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Результаты проведения предыдущих оценок фактического воздействия нормативного правового акта (при наличии):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проводились.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Сроки проведения публичного обсуждения нормативного правового акта: </w:t>
      </w:r>
      <w:r>
        <w:rPr>
          <w:sz w:val="28"/>
          <w:szCs w:val="28"/>
        </w:rPr>
        <w:t xml:space="preserve">не проводились.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 </w:t>
      </w:r>
      <w:r>
        <w:rPr>
          <w:sz w:val="28"/>
          <w:szCs w:val="28"/>
        </w:rPr>
        <w:t xml:space="preserve">Исполнительный орган </w:t>
      </w:r>
      <w:r>
        <w:rPr>
          <w:sz w:val="28"/>
          <w:szCs w:val="28"/>
        </w:rPr>
        <w:t xml:space="preserve">Белгородской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составитель </w:t>
      </w:r>
      <w:r>
        <w:rPr>
          <w:sz w:val="28"/>
          <w:szCs w:val="28"/>
        </w:rPr>
        <w:t xml:space="preserve">отчета</w:t>
      </w:r>
      <w:r>
        <w:rPr>
          <w:sz w:val="28"/>
          <w:szCs w:val="28"/>
        </w:rPr>
        <w:t xml:space="preserve"> об оценке фактического воздействия:</w:t>
      </w:r>
      <w:r>
        <w:rPr>
          <w:sz w:val="28"/>
          <w:szCs w:val="28"/>
        </w:rPr>
        <w:t xml:space="preserve">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 Контактная информация об исполнителе в органе-разработчике:</w:t>
      </w:r>
      <w:r>
        <w:rPr>
          <w:sz w:val="28"/>
          <w:szCs w:val="28"/>
        </w:rPr>
        <w:t xml:space="preserve">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 Дата и реквизиты заключения об оценке фактического воздействия нормативного правового акта:</w:t>
      </w:r>
      <w:r>
        <w:rPr>
          <w:sz w:val="28"/>
          <w:szCs w:val="28"/>
        </w:rPr>
        <w:t xml:space="preserve">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Полный электронный адрес размещения документов по оценке фактического воздействия нормативного правового </w:t>
      </w:r>
      <w:r>
        <w:rPr>
          <w:sz w:val="28"/>
          <w:szCs w:val="28"/>
        </w:rPr>
        <w:t xml:space="preserve">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-</w:t>
      </w:r>
      <w:r/>
    </w:p>
    <w:p>
      <w:pPr>
        <w:jc w:val="center"/>
      </w:pPr>
      <w:r/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Сравнительный анализ установленных в сводном </w:t>
      </w:r>
      <w:r>
        <w:rPr>
          <w:sz w:val="28"/>
          <w:szCs w:val="28"/>
        </w:rPr>
        <w:t xml:space="preserve">отчете</w:t>
      </w:r>
      <w:r>
        <w:rPr>
          <w:sz w:val="28"/>
          <w:szCs w:val="28"/>
        </w:rPr>
        <w:t xml:space="preserve"> прогнозных </w:t>
      </w:r>
      <w:r>
        <w:rPr>
          <w:sz w:val="28"/>
          <w:szCs w:val="28"/>
        </w:rPr>
        <w:t xml:space="preserve">показателей (</w:t>
      </w:r>
      <w:r>
        <w:rPr>
          <w:sz w:val="28"/>
          <w:szCs w:val="28"/>
        </w:rPr>
        <w:t xml:space="preserve">индикаторов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достижения целей и их фактических значений:</w:t>
      </w:r>
      <w:r/>
    </w:p>
    <w:tbl>
      <w:tblPr>
        <w:tblStyle w:val="879"/>
        <w:tblW w:w="9779" w:type="dxa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559"/>
        <w:gridCol w:w="1559"/>
        <w:gridCol w:w="1276"/>
        <w:gridCol w:w="1134"/>
      </w:tblGrid>
      <w:tr>
        <w:trPr>
          <w:trHeight w:val="1432"/>
        </w:trPr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4"/>
              </w:rPr>
              <w:t xml:space="preserve">регулиро</w:t>
            </w:r>
            <w:r>
              <w:rPr>
                <w:b/>
                <w:spacing w:val="-4"/>
              </w:rPr>
              <w:t xml:space="preserve">-</w:t>
            </w:r>
            <w:r>
              <w:rPr>
                <w:b/>
                <w:spacing w:val="-4"/>
              </w:rPr>
              <w:t xml:space="preserve">вания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Показатели </w:t>
            </w:r>
            <w:r>
              <w:rPr>
                <w:b/>
              </w:rPr>
              <w:t xml:space="preserve">достижения целей регулирова-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t xml:space="preserve">расчета</w:t>
            </w:r>
            <w:r>
              <w:rPr>
                <w:b/>
              </w:rPr>
              <w:t xml:space="preserve"> показа-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теля (индика-тора)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до в</w:t>
            </w:r>
            <w:r>
              <w:rPr>
                <w:b/>
              </w:rPr>
              <w:t xml:space="preserve">ведения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правового регулирова-ния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Текущее значение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Плано-вое значе-ние</w:t>
            </w:r>
            <w:r/>
          </w:p>
        </w:tc>
      </w:tr>
      <w:tr>
        <w:trPr>
          <w:trHeight w:val="285"/>
        </w:trPr>
        <w:tc>
          <w:tcPr>
            <w:tcW w:w="2551" w:type="dxa"/>
            <w:textDirection w:val="lrTb"/>
            <w:noWrap w:val="false"/>
          </w:tcPr>
          <w:p>
            <w:pPr>
              <w:rPr>
                <w:bCs w:val="0"/>
                <w:i w:val="0"/>
              </w:rPr>
            </w:pP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  <w:t xml:space="preserve">Н</w:t>
            </w:r>
            <w:r>
              <w:rPr>
                <w:i w:val="0"/>
                <w:iCs w:val="0"/>
              </w:rPr>
              <w:t xml:space="preserve">аведение порядка в застройке придорожных полос вдоль территориальных автомобильных дорог, являющихся собственностью Белгородской области, улучшение движения по этим дорогам, обеспечение возможности дальнейшего их расширения, создание нормальных условий экс</w:t>
            </w:r>
            <w:r>
              <w:rPr>
                <w:i w:val="0"/>
                <w:iCs w:val="0"/>
              </w:rPr>
              <w:t xml:space="preserve">плуатации автомобильных дорог и их сохранности, обеспечение требований безопасности дорожного движения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нарушений в </w:t>
            </w:r>
            <w:r>
              <w:rPr>
                <w:i w:val="0"/>
                <w:iCs w:val="0"/>
              </w:rPr>
              <w:t xml:space="preserve">застройке придорожных полос вдоль территориальных автомобильных дорог. </w:t>
            </w:r>
            <w:r>
              <w:rPr>
                <w:i w:val="0"/>
                <w:iCs w:val="0"/>
              </w:rPr>
              <w:t xml:space="preserve">Обеспечение требований безопасности дорожного движения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</w:t>
            </w:r>
            <w:r>
              <w:rPr>
                <w:sz w:val="22"/>
                <w:szCs w:val="22"/>
              </w:rPr>
              <w:t xml:space="preserve">-венный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           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Источники данных: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автомобильных дорог и транспорта Белгородской области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Анализ последствий установленного правового регулирования</w:t>
      </w:r>
      <w:r>
        <w:rPr>
          <w:bCs/>
          <w:sz w:val="28"/>
          <w:szCs w:val="28"/>
        </w:rPr>
        <w:t xml:space="preserve">: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Анализ фактических положительных и отрицательных последствий установленного правового регулирования</w:t>
      </w:r>
      <w:r>
        <w:rPr>
          <w:bCs/>
          <w:sz w:val="28"/>
          <w:szCs w:val="28"/>
        </w:rPr>
        <w:t xml:space="preserve">: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2693"/>
        <w:gridCol w:w="2264"/>
      </w:tblGrid>
      <w:tr>
        <w:trPr/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прогнозных</w:t>
            </w:r>
            <w:r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>
              <w:rPr>
                <w:b/>
              </w:rPr>
              <w:t xml:space="preserve">последствий установленного регулирования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фактических</w:t>
            </w:r>
            <w:r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>
              <w:rPr>
                <w:b/>
              </w:rPr>
              <w:t xml:space="preserve">последствий установленного регулирования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последствий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iCs/>
                <w:highlight w:val="yellow"/>
              </w:rPr>
            </w:pPr>
            <w:r>
              <w:rPr>
                <w:iCs/>
              </w:rPr>
              <w:t xml:space="preserve">Юридические лица,индивидуальные предприниматели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t xml:space="preserve">Отсутствие нарушений при использовании придорожных полос, обеспечение требований безопасности дорожного движения в связи с упорядочением застройки земельных участков, находящихся в пределах придорожных полос, в связи с упорядочиванием их использования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В период с 2005 по 2007 год нарушений не выявлено.</w:t>
            </w:r>
            <w:r/>
          </w:p>
          <w:p>
            <w:r>
              <w:rPr>
                <w:highlight w:val="none"/>
              </w:rPr>
            </w:r>
            <w:r>
              <w:rPr>
                <w:b w:val="0"/>
                <w:bCs w:val="0"/>
              </w:rPr>
              <w:t xml:space="preserve">В связи с принятием </w:t>
            </w:r>
            <w:r>
              <w:rPr>
                <w:b w:val="0"/>
                <w:bCs w:val="0"/>
              </w:rPr>
              <w:t xml:space="preserve">Федерального закона от 08.1</w:t>
            </w:r>
            <w:r>
              <w:rPr>
                <w:b w:val="0"/>
                <w:bCs w:val="0"/>
              </w:rPr>
              <w:t xml:space="preserve">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установленные постановлением нормы утратили актуальность.</w:t>
            </w:r>
            <w:r>
              <w:rPr>
                <w:highlight w:val="none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r>
              <w:t xml:space="preserve">В период с 2005 по 2007 год нарушений не выявлено.</w:t>
            </w:r>
            <w:r/>
          </w:p>
          <w:p>
            <w:r>
              <w:t xml:space="preserve"> </w:t>
            </w:r>
            <w:r>
              <w:rPr>
                <w:b w:val="0"/>
                <w:bCs w:val="0"/>
              </w:rPr>
              <w:t xml:space="preserve">В связи с принятием </w:t>
            </w:r>
            <w:r>
              <w:rPr>
                <w:b w:val="0"/>
                <w:bCs w:val="0"/>
              </w:rPr>
              <w:t xml:space="preserve">Федерального закона от 08.1</w:t>
            </w:r>
            <w:r>
              <w:rPr>
                <w:b w:val="0"/>
                <w:bCs w:val="0"/>
              </w:rPr>
              <w:t xml:space="preserve">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установленные постановлением нормы утратили актуальность.</w:t>
            </w:r>
            <w:r/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 xml:space="preserve">Анализ фактических </w:t>
      </w:r>
      <w:r>
        <w:rPr>
          <w:bCs/>
          <w:sz w:val="28"/>
          <w:szCs w:val="28"/>
        </w:rPr>
        <w:t xml:space="preserve">затрат </w:t>
      </w:r>
      <w:r>
        <w:rPr>
          <w:bCs/>
          <w:sz w:val="28"/>
          <w:szCs w:val="28"/>
        </w:rPr>
        <w:t xml:space="preserve">субъектов предпринимательской и иной экономической деятельности на соблюдение</w:t>
      </w:r>
      <w:r>
        <w:rPr>
          <w:bCs/>
          <w:sz w:val="28"/>
          <w:szCs w:val="28"/>
        </w:rPr>
        <w:t xml:space="preserve"> установленного правового регулирования</w:t>
      </w:r>
      <w:r>
        <w:rPr>
          <w:bCs/>
          <w:sz w:val="28"/>
          <w:szCs w:val="28"/>
        </w:rPr>
        <w:t xml:space="preserve"> (на соблюдение обязательных требований):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547"/>
        <w:gridCol w:w="2555"/>
        <w:gridCol w:w="2264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Описание плановых затрат субъектов предпринимательской и иной экономической деятельности</w:t>
            </w:r>
            <w:r/>
          </w:p>
        </w:tc>
        <w:tc>
          <w:tcPr>
            <w:tcW w:w="255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фактических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затрат субъектов предпринимательской и иной экономической деятельности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затрат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iCs/>
                <w:highlight w:val="yellow"/>
              </w:rPr>
            </w:pPr>
            <w:r>
              <w:rPr>
                <w:iCs/>
                <w:highlight w:val="none"/>
              </w:rPr>
              <w:t xml:space="preserve">Юридические лица, индивидуальные предприниматели</w:t>
            </w:r>
            <w:r>
              <w:rPr>
                <w:highlight w:val="yellow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highlight w:val="none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Правительства Белгородской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 апреля </w:t>
              <w:br/>
              <w:t xml:space="preserve">2005 года № 89-пп «Об утверждении Правил установления и использования придорожных полос территориальных автомобильных дорог общего пользования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highlight w:val="none"/>
              </w:rPr>
              <w:t xml:space="preserve">затраты на получение необходимых документов для получения согласования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какого-либо объекта в пределах придорожных полос со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ставляет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37000 руб. до 41000 руб.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Трудозатраты на представление пакета документов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1512,96 руб. до 2521,6 руб.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Общая стоимость требования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38512,96 руб. до 43521,6 руб.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b w:val="0"/>
                <w:bCs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highlight w:val="none"/>
              </w:rPr>
              <w:t xml:space="preserve">Согласно </w:t>
            </w:r>
            <w:r>
              <w:rPr>
                <w:b w:val="0"/>
                <w:bCs w:val="0"/>
                <w:highlight w:val="none"/>
              </w:rPr>
              <w:t xml:space="preserve">Федеральному закону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b w:val="0"/>
                <w:bCs w:val="0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распоряжени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ю Правительства Белгородской области </w:t>
              <w:br/>
              <w:t xml:space="preserve">от 28 мая 2018 года № 274-рп  з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атр</w:t>
            </w:r>
            <w:r>
              <w:rPr>
                <w:b w:val="0"/>
                <w:bCs w:val="0"/>
                <w:highlight w:val="none"/>
              </w:rPr>
              <w:t xml:space="preserve">аты на получение согласования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какого-либо объекта в пределах придорожных полос (содержащего технические требования и условия) со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ставляет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23800 руб. до 35900  руб. </w:t>
            </w:r>
            <w:r>
              <w:rPr>
                <w:highlight w:val="yellow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Трудозатраты на представление пакета документов составляют от  756,48 руб до 1008,64 руб.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Общая стоимость требования составляет от 24556,48 руб. до 36908,64 руб.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Уменьшение затрат хозяйствующего субъекта  на сумму от 6612,96 руб до 13956,48 руб.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в связи с изменением нормативной правовой базы</w:t>
            </w:r>
            <w:r>
              <w:rPr>
                <w:highlight w:val="none"/>
              </w:rPr>
            </w:r>
            <w:r/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Анализ расходов (возможных поступлений) консолидированного бюджета </w:t>
      </w:r>
      <w:r>
        <w:rPr>
          <w:bCs/>
          <w:sz w:val="28"/>
          <w:szCs w:val="28"/>
        </w:rPr>
        <w:t xml:space="preserve">Белгородской области:</w:t>
      </w:r>
      <w:r/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2130"/>
        <w:gridCol w:w="1984"/>
        <w:gridCol w:w="226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Описание расходов (поступлений) </w:t>
            </w:r>
            <w:r>
              <w:rPr>
                <w:b/>
                <w:iCs/>
              </w:rPr>
              <w:t xml:space="preserve">консолидированного бюджета Белгородской области</w:t>
            </w:r>
            <w:r/>
          </w:p>
        </w:tc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ланов</w:t>
            </w:r>
            <w:r>
              <w:rPr>
                <w:b/>
              </w:rPr>
              <w:t xml:space="preserve">ая количественная оценка,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Фактическая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количественная оценка,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расх</w:t>
            </w:r>
            <w:bookmarkStart w:id="4" w:name="_GoBack"/>
            <w:r/>
            <w:bookmarkEnd w:id="4"/>
            <w:r>
              <w:rPr>
                <w:b/>
              </w:rPr>
              <w:t xml:space="preserve">одов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3114" w:type="dxa"/>
            <w:textDirection w:val="lrTb"/>
            <w:noWrap w:val="false"/>
          </w:tcPr>
          <w:p>
            <w:pPr>
              <w:jc w:val="center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Расходы консолидированного бюджета Белгородской области не предусмотрены</w:t>
            </w:r>
            <w:r>
              <w:rPr>
                <w:highlight w:val="none"/>
              </w:rPr>
            </w:r>
            <w:r/>
          </w:p>
        </w:tc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</w:t>
            </w:r>
            <w:r/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Оценка соблюдения принципов установления и оценки применения обязательных требований</w:t>
      </w:r>
      <w:r>
        <w:rPr>
          <w:bCs/>
          <w:sz w:val="28"/>
          <w:szCs w:val="28"/>
        </w:rPr>
        <w:t xml:space="preserve">:</w:t>
      </w:r>
      <w:r>
        <w:rPr>
          <w:highlight w:val="yellow"/>
        </w:rPr>
      </w:r>
      <w:r/>
    </w:p>
    <w:p>
      <w:pPr>
        <w:pStyle w:val="877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16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Белгородской области </w:t>
      </w:r>
      <w:r>
        <w:rPr>
          <w:rFonts w:ascii="Times New Roman" w:hAnsi="Times New Roman" w:cs="Times New Roman"/>
          <w:sz w:val="26"/>
          <w:szCs w:val="26"/>
        </w:rPr>
        <w:br/>
        <w:t xml:space="preserve">от 27 апреля 2005 года № 89-пп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собственники, владельцы, пользователи и арендаторы земельных участков, расположенных в пределах придорожных полос,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обязаны:</w:t>
      </w:r>
      <w:r>
        <w:rPr>
          <w:sz w:val="26"/>
          <w:szCs w:val="26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соблюдать правила охраны и режим использования земель в пределах придорожных полос, а также нормы экологической безопасности;</w:t>
      </w:r>
      <w:r>
        <w:rPr>
          <w:sz w:val="26"/>
          <w:szCs w:val="26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не допускать нанесения вреда территориальной автомобильной дороге и расположенным на ней сооружениям, соблюдать условия эксплуатации автомобильной дороги и безопасности </w:t>
      </w:r>
      <w:r>
        <w:rPr>
          <w:rFonts w:ascii="Times New Roman" w:hAnsi="Times New Roman" w:cs="Times New Roman"/>
          <w:sz w:val="26"/>
          <w:szCs w:val="26"/>
        </w:rPr>
        <w:t xml:space="preserve">дорожного движения;</w:t>
      </w:r>
      <w:r>
        <w:rPr>
          <w:sz w:val="26"/>
          <w:szCs w:val="26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обеспечивать доп</w:t>
      </w:r>
      <w:r>
        <w:rPr>
          <w:rFonts w:ascii="Times New Roman" w:hAnsi="Times New Roman" w:cs="Times New Roman"/>
          <w:sz w:val="26"/>
          <w:szCs w:val="26"/>
        </w:rPr>
        <w:t xml:space="preserve">уск на принадлежащие им земельные участки представителей органа управления территориальной автомобильной дорогой и иных должностных лиц, уполномоченных осуществлять контроль за использованием земель, а также своевременно исполнять выданные ими предписания;</w:t>
      </w:r>
      <w:r>
        <w:rPr>
          <w:sz w:val="26"/>
          <w:szCs w:val="26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согласовывать с органом управления территориальной автомобильной дорогой предоставление земельных участков в пределах придорожных полос, а также строительство на принадлежащих им таких земельных участках зданий и сооружений;</w:t>
      </w:r>
      <w:r>
        <w:rPr>
          <w:sz w:val="26"/>
          <w:szCs w:val="26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>
        <w:rPr>
          <w:rFonts w:ascii="Times New Roman" w:hAnsi="Times New Roman" w:cs="Times New Roman"/>
          <w:sz w:val="26"/>
          <w:szCs w:val="26"/>
        </w:rPr>
        <w:t xml:space="preserve">осуществлять снос и перенос возведенных на земельных участках некапитальных зданий и сооружений </w:t>
      </w:r>
      <w:r>
        <w:rPr>
          <w:rFonts w:ascii="Times New Roman" w:hAnsi="Times New Roman" w:cs="Times New Roman"/>
          <w:sz w:val="26"/>
          <w:szCs w:val="26"/>
        </w:rPr>
        <w:t xml:space="preserve">в случае, если эти здания и сооружения создадут препятствия для нормальной эксплуатации территориальной автомобильной дороги при ее реконструкции или будут ухудшать условия движения по ней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ринципами установления и оценки применения обязательных требований являются: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1) законность. 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Постановление Правительства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от 27 апреля 2005 года № 89-пп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не соответствует данному принципу, так как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установлены иные 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бязательные требования.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2) обоснованность обязательных требований. 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 соответствует указанному принципу, так как содержит положения, не соответствующие требованиям действующего законодательства РФ в сфере дорожной деятельности и использования автомобильных дорог, в частности установления и использования придорожных полос.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3) правовая определенность и системность.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 соответствует указанному принципу по причине противоречия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целям и принципам законодательного регулирования в указанной сфере.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4) открытость и предсказуемость;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 соответствует указанному принципу по причине того, что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Постановление Правительства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от 27 апреля 2005 года № 89-пп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содержит неактуальные и противоречащие федеральному законодательству требования, в связи с чем фактически является недействующим. 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5) исполнимость обязательных требований.</w:t>
      </w:r>
      <w:r>
        <w:rPr>
          <w:sz w:val="26"/>
          <w:szCs w:val="26"/>
          <w:highlight w:val="none"/>
        </w:rPr>
      </w:r>
      <w:r/>
    </w:p>
    <w:p>
      <w:pPr>
        <w:pStyle w:val="877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 соответствует указанному принципу по причине несоответствия содержащихся требований требованиям нормативного правового акта, имеющего большую юридическую силу, в связи с чем требования не могут быть исполнимыми.</w:t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  <w:u w:val="single"/>
        </w:rPr>
      </w:pPr>
      <w:r>
        <w:rPr>
          <w:bCs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Иные сведения, позволяющие оценить фактическое воздействие: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 Иные сведения: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</w:t>
      </w:r>
      <w:r/>
    </w:p>
    <w:p>
      <w:pPr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 Источники данных: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Руководитель органа-разработчика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29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</w:pPr>
            <w:r>
              <w:t xml:space="preserve">(инициалы, фамилия)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709" w:bottom="107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8"/>
    <w:link w:val="712"/>
    <w:uiPriority w:val="10"/>
    <w:rPr>
      <w:sz w:val="48"/>
      <w:szCs w:val="48"/>
    </w:rPr>
  </w:style>
  <w:style w:type="character" w:styleId="664">
    <w:name w:val="Subtitle Char"/>
    <w:basedOn w:val="698"/>
    <w:link w:val="714"/>
    <w:uiPriority w:val="11"/>
    <w:rPr>
      <w:sz w:val="24"/>
      <w:szCs w:val="24"/>
    </w:rPr>
  </w:style>
  <w:style w:type="character" w:styleId="665">
    <w:name w:val="Quote Char"/>
    <w:link w:val="716"/>
    <w:uiPriority w:val="29"/>
    <w:rPr>
      <w:i/>
    </w:rPr>
  </w:style>
  <w:style w:type="character" w:styleId="666">
    <w:name w:val="Intense Quote Char"/>
    <w:link w:val="718"/>
    <w:uiPriority w:val="30"/>
    <w:rPr>
      <w:i/>
    </w:rPr>
  </w:style>
  <w:style w:type="table" w:styleId="667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6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1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4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5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6">
    <w:name w:val="Footnote Text Char"/>
    <w:link w:val="850"/>
    <w:uiPriority w:val="99"/>
    <w:rPr>
      <w:sz w:val="18"/>
    </w:rPr>
  </w:style>
  <w:style w:type="character" w:styleId="687">
    <w:name w:val="Endnote Text Char"/>
    <w:link w:val="853"/>
    <w:uiPriority w:val="99"/>
    <w:rPr>
      <w:sz w:val="20"/>
    </w:rPr>
  </w:style>
  <w:style w:type="paragraph" w:styleId="688" w:default="1">
    <w:name w:val="Normal"/>
    <w:qFormat/>
    <w:rPr>
      <w:sz w:val="24"/>
      <w:szCs w:val="24"/>
    </w:rPr>
  </w:style>
  <w:style w:type="paragraph" w:styleId="689">
    <w:name w:val="Heading 1"/>
    <w:basedOn w:val="688"/>
    <w:next w:val="68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8"/>
    <w:uiPriority w:val="34"/>
    <w:qFormat/>
    <w:pPr>
      <w:contextualSpacing/>
      <w:ind w:left="720"/>
    </w:pPr>
  </w:style>
  <w:style w:type="paragraph" w:styleId="711">
    <w:name w:val="No Spacing"/>
    <w:uiPriority w:val="1"/>
    <w:qFormat/>
  </w:style>
  <w:style w:type="paragraph" w:styleId="712">
    <w:name w:val="Title"/>
    <w:basedOn w:val="688"/>
    <w:next w:val="68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98"/>
    <w:link w:val="712"/>
    <w:uiPriority w:val="10"/>
    <w:rPr>
      <w:sz w:val="48"/>
      <w:szCs w:val="48"/>
    </w:rPr>
  </w:style>
  <w:style w:type="paragraph" w:styleId="714">
    <w:name w:val="Subtitle"/>
    <w:basedOn w:val="688"/>
    <w:next w:val="688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basedOn w:val="698"/>
    <w:link w:val="714"/>
    <w:uiPriority w:val="11"/>
    <w:rPr>
      <w:sz w:val="24"/>
      <w:szCs w:val="24"/>
    </w:rPr>
  </w:style>
  <w:style w:type="paragraph" w:styleId="716">
    <w:name w:val="Quote"/>
    <w:basedOn w:val="688"/>
    <w:next w:val="68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8"/>
    <w:next w:val="688"/>
    <w:link w:val="719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8"/>
    <w:uiPriority w:val="99"/>
  </w:style>
  <w:style w:type="character" w:styleId="721" w:customStyle="1">
    <w:name w:val="Footer Char"/>
    <w:basedOn w:val="698"/>
    <w:uiPriority w:val="99"/>
  </w:style>
  <w:style w:type="paragraph" w:styleId="722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 w:customStyle="1">
    <w:name w:val="Таблица простая 1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Таблица простая 21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Таблица простая 31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Таблица простая 41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 простая 51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Таблица-сетка 1 светлая1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а-сетка 21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31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41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 w:customStyle="1">
    <w:name w:val="Таблица-сетка 5 темная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Таблица-сетка 6 цветная1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Таблица-сетка 7 цветная1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Список-таблица 1 светлая1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Список-таблица 21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Список-таблица 31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Список-таблица 5 темная1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Список-таблица 6 цветная1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 w:customStyle="1">
    <w:name w:val="Список-таблица 7 цветная1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ned - Accent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9" w:customStyle="1">
    <w:name w:val="Lined - Accent 1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0" w:customStyle="1">
    <w:name w:val="Lined - Accent 2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1" w:customStyle="1">
    <w:name w:val="Lined - Accent 3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2" w:customStyle="1">
    <w:name w:val="Lined - Accent 4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33" w:customStyle="1">
    <w:name w:val="Lined - Accent 5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34" w:customStyle="1">
    <w:name w:val="Lined - Accent 6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35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6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7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8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9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40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1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2" w:customStyle="1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563c1" w:themeColor="hyperlink"/>
      <w:u w:val="single"/>
    </w:rPr>
  </w:style>
  <w:style w:type="paragraph" w:styleId="850">
    <w:name w:val="footnote text"/>
    <w:basedOn w:val="688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98"/>
    <w:uiPriority w:val="99"/>
    <w:unhideWhenUsed/>
    <w:rPr>
      <w:vertAlign w:val="superscript"/>
    </w:rPr>
  </w:style>
  <w:style w:type="paragraph" w:styleId="853">
    <w:name w:val="endnote text"/>
    <w:basedOn w:val="688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8"/>
    <w:uiPriority w:val="99"/>
    <w:semiHidden/>
    <w:unhideWhenUsed/>
    <w:rPr>
      <w:vertAlign w:val="superscript"/>
    </w:rPr>
  </w:style>
  <w:style w:type="paragraph" w:styleId="856">
    <w:name w:val="toc 1"/>
    <w:basedOn w:val="688"/>
    <w:next w:val="688"/>
    <w:uiPriority w:val="39"/>
    <w:unhideWhenUsed/>
    <w:pPr>
      <w:spacing w:after="57"/>
    </w:pPr>
  </w:style>
  <w:style w:type="paragraph" w:styleId="857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58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59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0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1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2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3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4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8"/>
    <w:next w:val="688"/>
    <w:uiPriority w:val="99"/>
    <w:unhideWhenUsed/>
  </w:style>
  <w:style w:type="table" w:styleId="867">
    <w:name w:val="Table Grid"/>
    <w:basedOn w:val="6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69">
    <w:name w:val="Balloon Text"/>
    <w:basedOn w:val="688"/>
    <w:semiHidden/>
    <w:rPr>
      <w:rFonts w:ascii="Tahoma" w:hAnsi="Tahoma" w:cs="Tahoma"/>
      <w:sz w:val="16"/>
      <w:szCs w:val="16"/>
    </w:rPr>
  </w:style>
  <w:style w:type="paragraph" w:styleId="870" w:customStyle="1">
    <w:name w:val="Знак"/>
    <w:basedOn w:val="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1">
    <w:name w:val="Header"/>
    <w:basedOn w:val="688"/>
    <w:link w:val="872"/>
    <w:uiPriority w:val="99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sz w:val="24"/>
      <w:szCs w:val="24"/>
    </w:rPr>
  </w:style>
  <w:style w:type="paragraph" w:styleId="873">
    <w:name w:val="Footer"/>
    <w:basedOn w:val="688"/>
    <w:link w:val="874"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sz w:val="24"/>
      <w:szCs w:val="24"/>
    </w:rPr>
  </w:style>
  <w:style w:type="paragraph" w:styleId="875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76" w:customStyle="1">
    <w:name w:val="Сетка таблицы1"/>
    <w:basedOn w:val="699"/>
    <w:next w:val="867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78" w:customStyle="1">
    <w:name w:val="Знак"/>
    <w:basedOn w:val="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79" w:customStyle="1">
    <w:name w:val="Сетка таблицы2"/>
    <w:basedOn w:val="699"/>
    <w:next w:val="8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 w:customStyle="1">
    <w:name w:val="Знак"/>
    <w:basedOn w:val="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1" w:customStyle="1">
    <w:name w:val="Сетка таблицы11"/>
    <w:basedOn w:val="699"/>
    <w:next w:val="867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C6B2CFE-C15C-416B-BC27-9DAC26040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kozlova_ev</dc:creator>
  <cp:revision>17</cp:revision>
  <dcterms:created xsi:type="dcterms:W3CDTF">2024-06-03T13:10:00Z</dcterms:created>
  <dcterms:modified xsi:type="dcterms:W3CDTF">2024-08-14T13:51:53Z</dcterms:modified>
</cp:coreProperties>
</file>