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bookmarkStart w:id="0" w:name="_GoBack"/>
      <w:r>
        <w:rPr>
          <w:rFonts w:ascii="Times New Roman" w:hAnsi="Times New Roman" w:cs="Times New Roman"/>
          <w:sz w:val="26"/>
          <w:szCs w:val="26"/>
        </w:rPr>
      </w:r>
      <w:bookmarkEnd w:id="0"/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Сводный отчет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br/>
        <w:t xml:space="preserve">о результатах проведения оценки регулирующего воздействия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br/>
        <w:t xml:space="preserve">проекта нормативного правового акта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 Общая информация: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1.1. Орган-разработчик (инициатор проекта закона Белгородской области):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Управление по туризму Белгородской области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1.2. Вид и наименование проекта нормативного правового акта: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Проект постановления Правительства Белгородской области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«Об утверждении Порядка предоставления из областного бюджета грантов в форме субсидий на поддержку реализации общественных инициатив, напр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авленных на развитие туристской инфраструктуры»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cs="Times New Roman"/>
          <w:sz w:val="26"/>
          <w:szCs w:val="26"/>
        </w:rPr>
        <w:t xml:space="preserve">акта: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начало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«17» июня 2025 г., окончание «1» июля 2025 г.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</w:t>
      </w:r>
      <w:r>
        <w:rPr>
          <w:rFonts w:ascii="Times New Roman" w:hAnsi="Times New Roman" w:cs="Times New Roman"/>
          <w:sz w:val="26"/>
          <w:szCs w:val="26"/>
        </w:rPr>
        <w:t xml:space="preserve">та: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color w:val="00b050"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Средняя. Проект нормативного правового акта содержит положения, расширяющие перечень направлений в сфере туризма, позволяющих юридическим лицам </w:t>
      </w:r>
      <w:r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 xml:space="preserve">(за исключением некоммерческих организаций, являющихся государственными (муниципальными) учреждениями) и ин</w:t>
      </w:r>
      <w:r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 xml:space="preserve">дивидуальным предпринимателям воспользоваться мерами государственной поддержки.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Контактная информация исполнителя в органе-разработчике: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Ф.И.О.: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Кац Виктория Борисовна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Должность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:</w:t>
      </w:r>
      <w:r>
        <w:rPr>
          <w:rFonts w:ascii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заместитель начальника управления – начальник отдела государственного регулирования туристской деятельности реализации государственных программ управления по туризму Белгородской области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(4722) 23-58-63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</w:t>
      </w:r>
      <w:r>
        <w:rPr>
          <w:rFonts w:ascii="Times New Roman" w:hAnsi="Times New Roman" w:cs="Times New Roman"/>
          <w:color w:val="00b050"/>
          <w:sz w:val="26"/>
          <w:szCs w:val="26"/>
        </w:rPr>
        <w:t xml:space="preserve">:</w:t>
      </w:r>
      <w:r>
        <w:rPr>
          <w:rFonts w:ascii="Times New Roman" w:hAnsi="Times New Roman" w:cs="Times New Roman"/>
          <w:i/>
          <w:iCs/>
          <w:color w:val="00b05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ka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ts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_vb@belregion.ru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  <w:lang w:eastAsia="ru-RU" w:bidi="ar-SA"/>
        </w:rPr>
        <w:t xml:space="preserve">Недостаток обустроенных </w:t>
      </w:r>
      <w:r>
        <w:rPr>
          <w:rFonts w:ascii="Times New Roman" w:hAnsi="Times New Roman" w:cs="Times New Roman" w:eastAsiaTheme="minorEastAsia"/>
          <w:i/>
          <w:sz w:val="26"/>
          <w:szCs w:val="26"/>
          <w:u w:val="single"/>
          <w:lang w:eastAsia="ru-RU"/>
        </w:rPr>
        <w:t xml:space="preserve">пляжей на берегах рек, озер, водохранилищ или во</w:t>
      </w:r>
      <w:r>
        <w:rPr>
          <w:rFonts w:ascii="Times New Roman" w:hAnsi="Times New Roman" w:cs="Times New Roman" w:eastAsiaTheme="minorEastAsia"/>
          <w:i/>
          <w:sz w:val="26"/>
          <w:szCs w:val="26"/>
          <w:u w:val="single"/>
          <w:lang w:eastAsia="ru-RU"/>
        </w:rPr>
        <w:t xml:space="preserve">дных объектов, модернизированных туристских ресурсов в составе национального туристского маршрута, круглогодично функционирующих бассейнов, кемпингов, кемпстоянок, причальной инфраструктуры, адаптированных к потребностям лиц с ограниченными возможностями з</w:t>
      </w:r>
      <w:r>
        <w:rPr>
          <w:rFonts w:ascii="Times New Roman" w:hAnsi="Times New Roman" w:cs="Times New Roman" w:eastAsiaTheme="minorEastAsia"/>
          <w:i/>
          <w:sz w:val="26"/>
          <w:szCs w:val="26"/>
          <w:u w:val="single"/>
          <w:lang w:eastAsia="ru-RU"/>
        </w:rPr>
        <w:t xml:space="preserve">доровья, в том числе снаряжения, инвентаря, экипировки, товаров для отдыха, обустроенных детских и спортивных зон отдыха</w:t>
      </w:r>
      <w:bookmarkStart w:id="1" w:name="P43"/>
      <w:r>
        <w:rPr>
          <w:rFonts w:ascii="Times New Roman" w:hAnsi="Times New Roman" w:cs="Times New Roman"/>
          <w:sz w:val="26"/>
          <w:szCs w:val="26"/>
        </w:rPr>
      </w:r>
      <w:bookmarkEnd w:id="1"/>
      <w:r>
        <w:rPr>
          <w:rFonts w:ascii="Times New Roman" w:hAnsi="Times New Roman" w:cs="Times New Roman" w:eastAsiaTheme="minorEastAsia"/>
          <w:i/>
          <w:sz w:val="26"/>
          <w:szCs w:val="26"/>
          <w:u w:val="single"/>
          <w:lang w:eastAsia="ru-RU"/>
        </w:rPr>
        <w:t xml:space="preserve">, пунктов общественного питания.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анная проблема выявлена в результате мониторинг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а общественных инициатив, направленных на развитие туристкой инфраструктуры</w:t>
      </w:r>
      <w:r>
        <w:rPr>
          <w:rFonts w:ascii="Times New Roman" w:hAnsi="Times New Roman" w:eastAsia="Calibri" w:cs="Times New Roman"/>
          <w:i/>
          <w:color w:val="ff0000"/>
          <w:sz w:val="26"/>
          <w:szCs w:val="26"/>
          <w:u w:val="single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 Негативные эффекты, возникающие в связи с наличием рассматриваемой проблемы: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37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  <w:lang w:eastAsia="ru-RU" w:bidi="ar-SA"/>
        </w:rPr>
        <w:t xml:space="preserve">Недостаток современной, обустроенной, модернизированной </w:t>
      </w:r>
      <w:r>
        <w:rPr>
          <w:rFonts w:ascii="Times New Roman" w:hAnsi="Times New Roman" w:cs="Times New Roman" w:eastAsiaTheme="minorEastAsia"/>
          <w:i/>
          <w:sz w:val="26"/>
          <w:szCs w:val="26"/>
          <w:u w:val="single"/>
          <w:lang w:eastAsia="ru-RU"/>
        </w:rPr>
        <w:t xml:space="preserve">туристской инфраструктуры, в том числе </w:t>
      </w:r>
      <w:r>
        <w:rPr>
          <w:rFonts w:ascii="Times New Roman" w:hAnsi="Times New Roman" w:cs="Times New Roman" w:eastAsiaTheme="minorEastAsia"/>
          <w:i/>
          <w:sz w:val="26"/>
          <w:szCs w:val="26"/>
          <w:u w:val="single"/>
          <w:lang w:eastAsia="ru-RU"/>
        </w:rPr>
        <w:t xml:space="preserve">на берегах рек, озер, водохранилищ или </w:t>
      </w:r>
      <w:r>
        <w:rPr>
          <w:rFonts w:ascii="Times New Roman" w:hAnsi="Times New Roman" w:cs="Times New Roman" w:eastAsiaTheme="minorEastAsia"/>
          <w:i/>
          <w:sz w:val="26"/>
          <w:szCs w:val="26"/>
          <w:u w:val="single"/>
          <w:lang w:eastAsia="ru-RU"/>
        </w:rPr>
        <w:t xml:space="preserve">водных объектов, снижает степень привлекательности их использования, а также доступности для населения, в том числе лиц с ограниченными возможностями здоровья.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</w:t>
      </w:r>
      <w:r>
        <w:rPr>
          <w:rFonts w:ascii="Times New Roman" w:hAnsi="Times New Roman" w:eastAsia="Calibri" w:cs="Times New Roman"/>
          <w:sz w:val="26"/>
          <w:szCs w:val="26"/>
        </w:rPr>
        <w:t xml:space="preserve">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деятельности:*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Анализ опыта иных субъектов Российской Федерации показал, что органами исполнительной власти большинства субъектов Российской Федерации ведутся работы по принятию аналогичных нормативных правовых актов, предусм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атривающих расширение перечня направлений в сфере туризма, позволяющих юридическим лицам </w:t>
      </w:r>
      <w:r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 xml:space="preserve">(за исключением некоммерческих организаций, являющихся государственными (муниципальными) учреждениями) и индивидуальным предпринимателям воспользоваться мерами государ</w:t>
      </w:r>
      <w:r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 xml:space="preserve">ственной поддержки.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 Цели вводимого правового регулирования и измеримые показатели их достижения: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Оказание государственной поддержки</w:t>
      </w:r>
      <w:r>
        <w:rPr>
          <w:rFonts w:ascii="Times New Roman" w:hAnsi="Times New Roman" w:cs="Times New Roman"/>
          <w:i/>
          <w:iCs/>
          <w:color w:val="00b05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ю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ридическим лицам (за исключением некоммерческих организаций, являющихся государственными (муниципальными) учреждениями) или индивидуальными предпринимателями, подавшими заявку на участие в отборе на предоставление грантов в форме субсидий на поддержку реал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изации общественных инициатив, направленных на развитие туристской инфраструктуры, источником финансового обеспечения которых являются средства областного бюджета;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</w:t>
      </w:r>
      <w:r>
        <w:rPr>
          <w:rFonts w:ascii="Times New Roman" w:hAnsi="Times New Roman" w:eastAsia="Calibri" w:cs="Times New Roman"/>
          <w:sz w:val="26"/>
          <w:szCs w:val="26"/>
        </w:rPr>
        <w:t xml:space="preserve">о регулирования: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- постановление Правительства Российской Федерации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25 октября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br/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тов в форме субсидий»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-</w:t>
      </w:r>
      <w:r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в соответствии с государственной </w:t>
      </w:r>
      <w:hyperlink r:id="rId11" w:tooltip="consultantplus://offline/ref=A7896285B32E53E358893D05FCC41BD6941E02930E2A2B0B0609C123CE76062CF51252070F6939561E5BF053D2C05CCD8D95DF0F069F0AFEi4g9H" w:history="1">
        <w:r>
          <w:rPr>
            <w:rStyle w:val="878"/>
            <w:rFonts w:ascii="Times New Roman" w:hAnsi="Times New Roman" w:eastAsia="Calibri" w:cs="Times New Roman"/>
            <w:i/>
            <w:iCs/>
            <w:color w:val="auto"/>
            <w:sz w:val="26"/>
            <w:szCs w:val="26"/>
          </w:rPr>
          <w:t xml:space="preserve">программой</w:t>
        </w:r>
      </w:hyperlink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Российской Федерации «Развитие туризма», утвержденной постановлением Правительства Российской Федерации от 24 декабря 2021 года № 2439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br/>
        <w:t xml:space="preserve">«Об утверждении государственной программы Российской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Федерации «Развитие туризма»;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- государственной </w:t>
      </w:r>
      <w:hyperlink r:id="rId12" w:tooltip="consultantplus://offline/ref=A7896285B32E53E358892308EAA845DC911659990A2C255B5D5BC77491260079B55254524C2D34561E50A403979E059EC1DED20E10830AFF540FAD7Ci0gFH" w:history="1">
        <w:r>
          <w:rPr>
            <w:rStyle w:val="878"/>
            <w:rFonts w:ascii="Times New Roman" w:hAnsi="Times New Roman" w:eastAsia="Calibri" w:cs="Times New Roman"/>
            <w:i/>
            <w:iCs/>
            <w:color w:val="auto"/>
            <w:sz w:val="26"/>
            <w:szCs w:val="26"/>
          </w:rPr>
          <w:t xml:space="preserve">программой</w:t>
        </w:r>
      </w:hyperlink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Белгородской области «Развитие экономического потенциала и формирование благоприятного предпринимательского климата в Бел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городской области», утвержденной постановлением Правительства Белгородской области от 25 декабря 2023 года № 750-пп «Об утверждении государственной программы Белгородской области «Развитие экономического потенциала и формирование благоприятного предпринима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тельского климата в Белгородской области».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31 декабря 2025 года.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Иная информация о целях предлагаемого правового регулирования: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Отсутствует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 Описание предлагаемого правового регулиро</w:t>
      </w:r>
      <w:r>
        <w:rPr>
          <w:rFonts w:ascii="Times New Roman" w:hAnsi="Times New Roman" w:cs="Times New Roman"/>
          <w:sz w:val="26"/>
          <w:szCs w:val="26"/>
        </w:rPr>
        <w:t xml:space="preserve">вания: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Проектом постановления Правительства Белгородской области 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«Об утверждении Порядка предоставления из областного бюджета грантов в форме субсидий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на поддержку реализации общественных инициатив, направленных на развитие туристской инфраструктуры» утверждается </w:t>
      </w:r>
      <w:hyperlink w:tooltip="#P31" w:anchor="P31" w:history="1">
        <w:r>
          <w:rPr>
            <w:rFonts w:ascii="Times New Roman" w:hAnsi="Times New Roman" w:cs="Times New Roman"/>
            <w:i/>
            <w:sz w:val="26"/>
            <w:szCs w:val="26"/>
            <w:u w:val="single"/>
          </w:rPr>
          <w:t xml:space="preserve">Порядок</w:t>
        </w:r>
      </w:hyperlink>
      <w:r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 xml:space="preserve"> предоставления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из областного бюджета </w:t>
      </w:r>
      <w:r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 xml:space="preserve">грантов, содержащий: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 xml:space="preserve">- общие положения;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 xml:space="preserve">- п</w:t>
      </w:r>
      <w:r>
        <w:rPr>
          <w:rFonts w:ascii="Times New Roman" w:hAnsi="Times New Roman" w:cs="Times New Roman" w:eastAsiaTheme="minorEastAsia"/>
          <w:i/>
          <w:sz w:val="26"/>
          <w:szCs w:val="26"/>
          <w:u w:val="single"/>
          <w:lang w:eastAsia="ru-RU"/>
        </w:rPr>
        <w:t xml:space="preserve">орядок проведения отбора получателей субсидии</w:t>
      </w:r>
      <w:r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 xml:space="preserve">- условия и порядок предоставления субсидии;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 xml:space="preserve">- требования к отчетности;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37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 xml:space="preserve">- требования об осуществлении контроля (мониторинга) за соблюдением условий и порядка предоставления субсидий и ответственности за их нар</w:t>
      </w:r>
      <w:r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 xml:space="preserve">ушение.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Гранты в форме субсидий на конкурсной основе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предоставляются юридическим лицам (за исключением некоммерческих организаций, являющихся государственными (муниципальными) учреждениями)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и (или) индивидуальным предпринимателям в 2025 году по следующим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направлениям: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- создание и (или) развитие пляжей на берегах рек, озер, водохранилищ или иных водных объектов;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- создание и (или) развитие национальных туристских маршрутов, определенных в соответствии с </w:t>
      </w:r>
      <w:hyperlink r:id="rId13" w:tooltip="consultantplus://offline/ref=92006FFAEE161C5640293E4722EDB37ECEEF505CEF7551BBBC6E8E41329ADE479B60D10EF6DD62B7C208B6C4CF143375A8AF482ADAFF889Bh6MFL" w:history="1">
        <w:r>
          <w:rPr>
            <w:rFonts w:ascii="Times New Roman" w:hAnsi="Times New Roman" w:cs="Times New Roman"/>
            <w:i/>
            <w:iCs/>
            <w:sz w:val="26"/>
            <w:szCs w:val="26"/>
            <w:lang w:eastAsia="ru-RU"/>
          </w:rPr>
          <w:t xml:space="preserve">Правилами</w:t>
        </w:r>
      </w:hyperlink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определения национальных туристских маршрутов, утвержденными постановлением Правительства Российской Федерации от 29 ноября 2021 года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№ 2086 «Об утверждении Правил определения национальных туристских маршрутов»;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развитие инфраструктуры туризма в рамках проектов юридических лиц и индивидуальных предпринимателей;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создание объектов кемпинг-размещения, кемпстоянок, а также приобретение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кемпинговых палаток и других видов оборудования, используемого для организации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с ограниченными воз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можностями здоровья, создание системы визуальной информации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  <w:t xml:space="preserve">и навигации;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создание некапитальной нестационарной причальной инфраструктуры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right="-1" w:firstLine="709"/>
        <w:jc w:val="both"/>
        <w:tabs>
          <w:tab w:val="left" w:pos="963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right="-1" w:firstLine="709"/>
        <w:jc w:val="both"/>
        <w:tabs>
          <w:tab w:val="left" w:pos="963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 Альтернативные варианты решения проблемы: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right="-1" w:firstLine="709"/>
        <w:jc w:val="both"/>
        <w:tabs>
          <w:tab w:val="left" w:pos="9638" w:leader="none"/>
        </w:tabs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- развитие туристской инфраструктуры за счет средств субъектов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предпринимательской деятельности.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  <w:pBdr>
          <w:right w:val="none" w:color="000000" w:sz="4" w:space="1"/>
        </w:pBdr>
      </w:pPr>
      <w:r>
        <w:rPr>
          <w:rFonts w:ascii="Times New Roman" w:hAnsi="Times New Roman" w:eastAsia="Calibri" w:cs="Times New Roman"/>
          <w:sz w:val="26"/>
          <w:szCs w:val="26"/>
        </w:rPr>
        <w:t xml:space="preserve">4.3. Обоснование выбора предлагаемого способа решения проблемы: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right="57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Оптимальным вариантом решения проблемы считаем принятие проекта постановления, предусматривающего утверждение </w:t>
      </w:r>
      <w:hyperlink w:tooltip="#P31" w:anchor="P31" w:history="1">
        <w:r>
          <w:rPr>
            <w:rFonts w:ascii="Times New Roman" w:hAnsi="Times New Roman" w:cs="Times New Roman"/>
            <w:i/>
            <w:sz w:val="26"/>
            <w:szCs w:val="26"/>
            <w:u w:val="single"/>
          </w:rPr>
          <w:t xml:space="preserve">Порядка</w:t>
        </w:r>
      </w:hyperlink>
      <w:r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 xml:space="preserve"> предоставления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юридическим лицам (за исключением некоммерческих организаций, являющихся государственными (муниципальными) учреждениями) или индивидуальным предпринимателям, подавшим заявку на участие в отборе на предоставление грантов в форме субсидий на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поддержку реализации общественных инициатив, направленных на развитие туристской инфраструктуры, источником финансового обеспечения которых являются средства областного бюджета. Предусмотренная постановлением государственная мера поддержки позволит снизить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финансовую нагрузку на хозяйствующие в данной сфере субъекты предпринимательской деятельности,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будет способствовать развитию туристической инфраструктуры Белгородская область в целом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  <w:pBdr>
          <w:right w:val="none" w:color="000000" w:sz="4" w:space="1"/>
        </w:pBd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  <w:pBdr>
          <w:right w:val="none" w:color="000000" w:sz="4" w:space="1"/>
        </w:pBd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9"/>
        <w:gridCol w:w="2127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9" w:type="dxa"/>
            <w:textDirection w:val="lrTb"/>
            <w:noWrap w:val="false"/>
          </w:tcPr>
          <w:p>
            <w:pPr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Группа участников отношений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количества участников отношений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9" w:type="dxa"/>
            <w:vAlign w:val="center"/>
            <w:textDirection w:val="lrTb"/>
            <w:noWrap w:val="false"/>
          </w:tcPr>
          <w:p>
            <w:pPr>
              <w:ind w:right="57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Юридические лица (за исключением некоммерческих организаций, являющихся государственными (муниципальными) учреждениями) или индивидуальные предприниматели, подавшие заявку на участие в отборе на предоставление грантов в форме субсидий на поддержку реализа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ции общественных инициатив, направленных на развитие туристской инфраструктуры, источником финансового обеспечения которых являются средства областного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 xml:space="preserve">По результатам оценки потенциальных участников отбора не менее 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обязанностей, ограничений и преимуществ,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110"/>
        <w:gridCol w:w="234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9" w:type="dxa"/>
            <w:textDirection w:val="lrTb"/>
            <w:noWrap w:val="false"/>
          </w:tcPr>
          <w:p>
            <w:pPr>
              <w:ind w:right="57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Гру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ппа участников отношений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преимуществ, обязанностей, ограничений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br/>
              <w:t xml:space="preserve">или изменения содержания существующих обязанностей и ограничений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textDirection w:val="lrTb"/>
            <w:noWrap w:val="false"/>
          </w:tcPr>
          <w:p>
            <w:pPr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изменения расходов/доходов,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издержек/выгод,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89" w:type="dxa"/>
            <w:vAlign w:val="center"/>
            <w:vMerge w:val="restart"/>
            <w:textDirection w:val="lrTb"/>
            <w:noWrap w:val="false"/>
          </w:tcPr>
          <w:p>
            <w:pPr>
              <w:ind w:right="57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Юридические лица (за исключением некоммерческих органи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заций, являющихся государственными (муниципальными) учреждениями) или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индивидуальный предприниматель, подавший заявку на участие в конкурсе на предоставление грантов в форме субсидий на поддержку реализации общественных инициатив, направленных на развитие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туристской инфраструктуры, источником финансового обеспечения которых являются средства областного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ind w:right="5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Преимущество: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57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Возможность получения грантовой поддержки из областного бюджета на цели и в размере, не предусмотренные действующими программами госуда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рственной поддержки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4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  <w:t xml:space="preserve">Объем поддержки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54 468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2505"/>
        </w:trPr>
        <w:tc>
          <w:tcPr>
            <w:tcBorders>
              <w:left w:val="single" w:color="000000" w:sz="4" w:space="0"/>
              <w:right w:val="single" w:color="auto" w:sz="4" w:space="0"/>
            </w:tcBorders>
            <w:tcW w:w="3289" w:type="dxa"/>
            <w:vAlign w:val="center"/>
            <w:vMerge w:val="continue"/>
            <w:textDirection w:val="lrTb"/>
            <w:noWrap w:val="false"/>
          </w:tcPr>
          <w:p>
            <w:pPr>
              <w:ind w:right="57"/>
              <w:rPr>
                <w:rFonts w:eastAsia="Calibri"/>
                <w:i/>
                <w:iCs/>
                <w:color w:val="ff0000"/>
                <w:sz w:val="27"/>
                <w:szCs w:val="27"/>
              </w:rPr>
            </w:pPr>
            <w:r>
              <w:rPr>
                <w:rFonts w:eastAsia="Calibri"/>
                <w:i/>
                <w:iCs/>
                <w:color w:val="ff0000"/>
                <w:sz w:val="27"/>
                <w:szCs w:val="27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ind w:right="57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Обязанность: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bookmarkStart w:id="2" w:name="_Hlk128388422"/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5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bookmarkStart w:id="3" w:name="_Hlk132986081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Предоставление  пакета документов необходимых для участия в </w:t>
            </w:r>
            <w:bookmarkEnd w:id="2"/>
            <w:r>
              <w:rPr>
                <w:rFonts w:ascii="Times New Roman" w:hAnsi="Times New Roman" w:cs="Times New Roman"/>
                <w:sz w:val="26"/>
                <w:szCs w:val="26"/>
              </w:rPr>
            </w:r>
            <w:bookmarkEnd w:id="3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отборе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34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Общая стоимость требования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right="57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17,3 тыс. руб.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4110"/>
        <w:gridCol w:w="283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Наименование органа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Описание новых или изменения существующих ф</w:t>
            </w: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ункций, полномочий, обязанностей или прав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Оценка изменения трудозатрат и (или) потребностей в иных ресурсах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Управление по туризму Белгородской области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Осуществляются в рамках ранее установленных полномочий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Дополнительные трудозатраты не требуются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rFonts w:ascii="Times New Roman" w:hAnsi="Times New Roman" w:cs="Times New Roman"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strike w:val="0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</w:t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3652"/>
        <w:gridCol w:w="272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или прав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Описание видов расходов (возможных поступлений) консолидированного бюджета Б</w:t>
            </w: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елгородской области 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Количественная оценка расходов и возможных поступлений,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тыс. руб.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Проведение конкурсного отбора, подготовка документов для выдачи субсидий, осуществление контроля за соблюдением условий и порядка предоставления субсидий 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Выдача </w:t>
            </w: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субсидий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Финансирование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на 2025год – 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ind w:right="57"/>
              <w:rPr>
                <w:rFonts w:ascii="Times New Roman" w:hAnsi="Times New Roman" w:cs="Times New Roman"/>
                <w:strike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  <w:t xml:space="preserve">54 468,0 тыс. руб.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(средства областного бюджета)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rFonts w:ascii="Times New Roman" w:hAnsi="Times New Roman" w:cs="Times New Roman"/>
          <w:b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  <w:t xml:space="preserve">4.8. Информация о наличии или отсутствии в проекте нормативного правового акта обязательных требований: отсутствует.</w:t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также, описание методов контроля эффективности избранного способа достижения целей регулирования:</w:t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2977"/>
        <w:gridCol w:w="35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Риски решения проблемы</w:t>
            </w: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 предложенным способом и риски негативных последствий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Оценка вероятности наступления рисков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Методы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ind w:right="57"/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  <w:t xml:space="preserve">Предоставление неполного пакета документов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Низкая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Утвержденный проектом постановления исчерпывающий перечень документов позволит существенно снизить данный риск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ind w:right="57"/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  <w:t xml:space="preserve">Отсутствие заявок на участие в отборе 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Низкая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Информирование участников отбора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tbl>
      <w:tblPr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1561"/>
        <w:gridCol w:w="2127"/>
        <w:gridCol w:w="1134"/>
        <w:gridCol w:w="127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Мероприятия, необходимые для достижения целей регулирования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Сроки реализации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Описание ожидаемого результата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Объем финансиро- вания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Источники финансиро- вания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trike w:val="0"/>
                <w:sz w:val="26"/>
                <w:szCs w:val="26"/>
              </w:rPr>
              <w:t xml:space="preserve">Опубликование текста принятого постановления Правительства области «Об утверждении Порядка предоставления из областного бюджета грантов в форме субсидий на поддержку реализации общественных инициатив, напр</w:t>
            </w:r>
            <w:r>
              <w:rPr>
                <w:rFonts w:ascii="Times New Roman" w:hAnsi="Times New Roman" w:eastAsia="Calibri" w:cs="Times New Roman"/>
                <w:bCs/>
                <w:i/>
                <w:iCs/>
                <w:strike w:val="0"/>
                <w:sz w:val="26"/>
                <w:szCs w:val="26"/>
              </w:rPr>
              <w:t xml:space="preserve">авленных на развитие туристской инфраструктуры»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  <w:lang w:val="en-US"/>
              </w:rPr>
              <w:t xml:space="preserve">I</w:t>
            </w:r>
            <w:r>
              <w:rPr>
                <w:rFonts w:ascii="Times New Roman" w:hAnsi="Times New Roman" w:eastAsia="Calibri" w:cs="Times New Roman"/>
                <w:bCs/>
                <w:i/>
                <w:iCs/>
                <w:strike w:val="0"/>
                <w:sz w:val="26"/>
                <w:szCs w:val="26"/>
                <w:lang w:val="en-US"/>
              </w:rPr>
              <w:t xml:space="preserve">II</w:t>
            </w: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 кв.2025 г.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  <w:t xml:space="preserve">Надлежащее официальное опубликование нормативного правового акта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trike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trike w:val="0"/>
                <w:sz w:val="26"/>
                <w:szCs w:val="26"/>
              </w:rPr>
              <w:t xml:space="preserve">Информирование участников конкурса об утверждении Порядка предоставления из областного бюджета грантов в форме субсидий на п</w:t>
            </w:r>
            <w:r>
              <w:rPr>
                <w:rFonts w:ascii="Times New Roman" w:hAnsi="Times New Roman" w:eastAsia="Calibri" w:cs="Times New Roman"/>
                <w:bCs/>
                <w:i/>
                <w:iCs/>
                <w:strike w:val="0"/>
                <w:sz w:val="26"/>
                <w:szCs w:val="26"/>
              </w:rPr>
              <w:t xml:space="preserve">оддержку реализации общественных инициатив, направленных на развитие туристской инфраструктуры» 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  <w:lang w:val="en-US"/>
              </w:rPr>
              <w:t xml:space="preserve">III</w:t>
            </w: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 кв.2025 г.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  <w:t xml:space="preserve">Формирование заявки на участие в отборе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hanging="28"/>
              <w:jc w:val="center"/>
              <w:widowControl w:val="off"/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</w:tbl>
    <w:p>
      <w:pPr>
        <w:ind w:firstLine="709"/>
        <w:rPr>
          <w:rFonts w:ascii="Times New Roman" w:hAnsi="Times New Roman" w:cs="Times New Roman"/>
          <w:b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rPr>
          <w:rFonts w:ascii="Times New Roman" w:hAnsi="Times New Roman" w:cs="Times New Roman"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  <w:t xml:space="preserve">7. Ожидаемые измеримые результаты правового регулирования:*</w:t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rPr>
          <w:rFonts w:ascii="Times New Roman" w:hAnsi="Times New Roman" w:cs="Times New Roman"/>
          <w:b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84"/>
        <w:gridCol w:w="1955"/>
        <w:gridCol w:w="2802"/>
        <w:gridCol w:w="1687"/>
      </w:tblGrid>
      <w:tr>
        <w:trPr>
          <w:trHeight w:val="10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Ключевые показатели достижения целей, заявленных в предложенном регулировании 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5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Количественное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значение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ключевых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показателей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Методы контроля эффективности достижения целей правового регулирования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trike w:val="0"/>
                <w:sz w:val="26"/>
                <w:szCs w:val="26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trike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Оказание государственной поддержки в виде предоставления субсидий из областного бюджета </w:t>
            </w:r>
            <w:r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  <w:t xml:space="preserve">юридическим лицам (за исключением некоммерческих организаций, являющихся государственными (муниципальными) учреждениями) или индивидуальным предпринимателям, подавшим з</w:t>
            </w:r>
            <w:r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  <w:t xml:space="preserve">аявку на участие в отборе на предоставление грантов в форме субсидий на поддержку реализации общественных инициатив, направленных на развитие туристской инфраструктуры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Не менее 1 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trike w:val="0"/>
                <w:sz w:val="26"/>
                <w:szCs w:val="26"/>
              </w:rPr>
              <w:t xml:space="preserve">Оценка поступающих заявок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декабрь 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trike w:val="0"/>
                <w:sz w:val="26"/>
                <w:szCs w:val="26"/>
              </w:rPr>
              <w:t xml:space="preserve">2025 года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rFonts w:ascii="Times New Roman" w:hAnsi="Times New Roman" w:cs="Times New Roman"/>
          <w:b/>
          <w:bCs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trike w:val="0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trike w:val="0"/>
          <w:sz w:val="26"/>
          <w:szCs w:val="26"/>
        </w:rPr>
      </w:pP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hAnsi="Times New Roman" w:eastAsia="Calibri" w:cs="Times New Roman"/>
          <w:bCs/>
          <w:strike w:val="0"/>
          <w:sz w:val="26"/>
          <w:szCs w:val="26"/>
          <w:lang w:val="en-US"/>
        </w:rPr>
        <w:t xml:space="preserve">III</w:t>
      </w:r>
      <w:r>
        <w:rPr>
          <w:rFonts w:ascii="Times New Roman" w:hAnsi="Times New Roman" w:eastAsia="Calibri" w:cs="Times New Roman"/>
          <w:bCs/>
          <w:strike w:val="0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trike w:val="0"/>
          <w:sz w:val="26"/>
          <w:szCs w:val="26"/>
        </w:rPr>
        <w:t xml:space="preserve">кв.2025 г.</w:t>
      </w:r>
      <w:r>
        <w:rPr>
          <w:rFonts w:ascii="Times New Roman" w:hAnsi="Times New Roman" w:cs="Times New Roman"/>
          <w:strike w:val="0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7" w:h="16840" w:orient="portrait"/>
      <w:pgMar w:top="709" w:right="709" w:bottom="851" w:left="1560" w:header="397" w:footer="34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2" w:hanging="432"/>
      </w:pPr>
      <w:rPr>
        <w:rFonts w:ascii="Times New Roman" w:hAnsi="Times New Roman"/>
      </w:r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Calibri" w:hAnsi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ascii="Calibri" w:hAnsi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ascii="Calibri" w:hAnsi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ascii="Calibri" w:hAnsi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ascii="Calibri" w:hAnsi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ascii="Calibri" w:hAnsi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ascii="Calibri" w:hAnsi="Calibri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08" w:hanging="408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16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eastAsia="Wingdings" w:cs="Wingdings"/>
      </w:rPr>
    </w:lvl>
  </w:abstractNum>
  <w:num w:numId="1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Endnote Text Char"/>
    <w:link w:val="723"/>
    <w:uiPriority w:val="99"/>
    <w:rPr>
      <w:sz w:val="20"/>
    </w:rPr>
  </w:style>
  <w:style w:type="paragraph" w:styleId="677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678">
    <w:name w:val="Heading 1"/>
    <w:link w:val="727"/>
    <w:uiPriority w:val="9"/>
    <w:qFormat/>
    <w:pPr>
      <w:keepLines/>
      <w:keepNext/>
      <w:spacing w:before="48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Arial" w:hAnsi="Arial" w:eastAsia="Arial" w:cs="Arial"/>
      <w:sz w:val="40"/>
      <w:szCs w:val="40"/>
      <w:lang w:eastAsia="en-US" w:bidi="en-US"/>
    </w:rPr>
  </w:style>
  <w:style w:type="paragraph" w:styleId="679">
    <w:name w:val="Heading 2"/>
    <w:link w:val="728"/>
    <w:uiPriority w:val="9"/>
    <w:unhideWhenUsed/>
    <w:qFormat/>
    <w:pPr>
      <w:keepLines/>
      <w:keepNext/>
      <w:spacing w:before="36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Arial" w:hAnsi="Arial" w:eastAsia="Arial" w:cs="Arial"/>
      <w:sz w:val="34"/>
      <w:szCs w:val="22"/>
      <w:lang w:eastAsia="en-US" w:bidi="en-US"/>
    </w:rPr>
  </w:style>
  <w:style w:type="paragraph" w:styleId="680">
    <w:name w:val="Heading 3"/>
    <w:link w:val="729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681">
    <w:name w:val="Heading 4"/>
    <w:link w:val="730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682">
    <w:name w:val="Heading 5"/>
    <w:link w:val="731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683">
    <w:name w:val="Heading 6"/>
    <w:link w:val="732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684">
    <w:name w:val="Heading 7"/>
    <w:link w:val="733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685">
    <w:name w:val="Heading 8"/>
    <w:link w:val="734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686">
    <w:name w:val="Heading 9"/>
    <w:link w:val="735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Heading 3 Char"/>
    <w:basedOn w:val="687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basedOn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basedOn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basedOn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7 Char"/>
    <w:basedOn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8 Char"/>
    <w:basedOn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9 Char"/>
    <w:basedOn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character" w:styleId="700" w:customStyle="1">
    <w:name w:val="Subtitle Char"/>
    <w:basedOn w:val="687"/>
    <w:uiPriority w:val="11"/>
    <w:rPr>
      <w:sz w:val="24"/>
      <w:szCs w:val="24"/>
    </w:rPr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table" w:styleId="703">
    <w:name w:val="Plain Table 1"/>
    <w:basedOn w:val="6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8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68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68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5 Dark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3">
    <w:name w:val="Grid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4">
    <w:name w:val="Grid Table 7 Colorful"/>
    <w:basedOn w:val="68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15">
    <w:name w:val="List Table 1 Light"/>
    <w:basedOn w:val="68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2"/>
    <w:basedOn w:val="68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7">
    <w:name w:val="List Table 3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68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0">
    <w:name w:val="List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1">
    <w:name w:val="List Table 7 Colorful"/>
    <w:basedOn w:val="68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722" w:customStyle="1">
    <w:name w:val="Footnote Text Char"/>
    <w:uiPriority w:val="99"/>
    <w:rPr>
      <w:sz w:val="18"/>
    </w:rPr>
  </w:style>
  <w:style w:type="paragraph" w:styleId="723">
    <w:name w:val="endnote text"/>
    <w:basedOn w:val="677"/>
    <w:link w:val="724"/>
    <w:uiPriority w:val="99"/>
    <w:semiHidden/>
    <w:unhideWhenUsed/>
  </w:style>
  <w:style w:type="character" w:styleId="724" w:customStyle="1">
    <w:name w:val="Текст концевой сноски Знак"/>
    <w:link w:val="723"/>
    <w:uiPriority w:val="99"/>
    <w:rPr>
      <w:sz w:val="20"/>
    </w:rPr>
  </w:style>
  <w:style w:type="character" w:styleId="725">
    <w:name w:val="endnote reference"/>
    <w:basedOn w:val="687"/>
    <w:uiPriority w:val="99"/>
    <w:semiHidden/>
    <w:unhideWhenUsed/>
    <w:rPr>
      <w:vertAlign w:val="superscript"/>
    </w:rPr>
  </w:style>
  <w:style w:type="paragraph" w:styleId="726">
    <w:name w:val="table of figures"/>
    <w:basedOn w:val="677"/>
    <w:next w:val="677"/>
    <w:uiPriority w:val="99"/>
    <w:unhideWhenUsed/>
  </w:style>
  <w:style w:type="character" w:styleId="727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677"/>
    <w:pPr>
      <w:contextualSpacing/>
      <w:ind w:left="720"/>
    </w:pPr>
    <w:rPr>
      <w:szCs w:val="20"/>
    </w:rPr>
  </w:style>
  <w:style w:type="paragraph" w:styleId="737">
    <w:name w:val="No Spacing"/>
    <w:link w:val="90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738">
    <w:name w:val="Title"/>
    <w:link w:val="739"/>
    <w:uiPriority w:val="10"/>
    <w:qFormat/>
    <w:pPr>
      <w:contextualSpacing/>
      <w:spacing w:before="30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48"/>
      <w:szCs w:val="48"/>
      <w:lang w:eastAsia="en-US" w:bidi="en-US"/>
    </w:rPr>
  </w:style>
  <w:style w:type="character" w:styleId="739" w:customStyle="1">
    <w:name w:val="Заголовок Знак"/>
    <w:link w:val="738"/>
    <w:uiPriority w:val="10"/>
    <w:rPr>
      <w:sz w:val="48"/>
      <w:szCs w:val="48"/>
    </w:rPr>
  </w:style>
  <w:style w:type="paragraph" w:styleId="740">
    <w:name w:val="Subtitle"/>
    <w:link w:val="741"/>
    <w:uiPriority w:val="11"/>
    <w:qFormat/>
    <w:pPr>
      <w:spacing w:before="20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en-US" w:bidi="en-US"/>
    </w:rPr>
  </w:style>
  <w:style w:type="character" w:styleId="741" w:customStyle="1">
    <w:name w:val="Подзаголовок Знак"/>
    <w:link w:val="740"/>
    <w:uiPriority w:val="11"/>
    <w:rPr>
      <w:sz w:val="24"/>
      <w:szCs w:val="24"/>
    </w:rPr>
  </w:style>
  <w:style w:type="paragraph" w:styleId="742">
    <w:name w:val="Quote"/>
    <w:link w:val="743"/>
    <w:uiPriority w:val="29"/>
    <w:qFormat/>
    <w:pPr>
      <w:ind w:left="720" w:righ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i/>
      <w:szCs w:val="22"/>
      <w:lang w:eastAsia="en-US" w:bidi="en-US"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</w:pPr>
    <w:rPr>
      <w:i/>
      <w:szCs w:val="22"/>
      <w:lang w:eastAsia="en-US" w:bidi="en-US"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paragraph" w:styleId="746">
    <w:name w:val="Header"/>
    <w:basedOn w:val="677"/>
    <w:link w:val="895"/>
    <w:pPr>
      <w:tabs>
        <w:tab w:val="center" w:pos="4677" w:leader="none"/>
        <w:tab w:val="right" w:pos="9355" w:leader="none"/>
      </w:tabs>
    </w:pPr>
  </w:style>
  <w:style w:type="character" w:styleId="747" w:customStyle="1">
    <w:name w:val="Header Char"/>
    <w:uiPriority w:val="99"/>
  </w:style>
  <w:style w:type="paragraph" w:styleId="748">
    <w:name w:val="Footer"/>
    <w:basedOn w:val="677"/>
    <w:link w:val="896"/>
    <w:pPr>
      <w:tabs>
        <w:tab w:val="center" w:pos="4677" w:leader="none"/>
        <w:tab w:val="right" w:pos="9355" w:leader="none"/>
      </w:tabs>
    </w:pPr>
  </w:style>
  <w:style w:type="character" w:styleId="749" w:customStyle="1">
    <w:name w:val="Footer Char"/>
    <w:uiPriority w:val="99"/>
  </w:style>
  <w:style w:type="paragraph" w:styleId="750">
    <w:name w:val="Caption"/>
    <w:uiPriority w:val="35"/>
    <w:semiHidden/>
    <w:unhideWhenUsed/>
    <w:qFormat/>
    <w:pPr>
      <w:spacing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color w:val="4f81bd"/>
      <w:sz w:val="18"/>
      <w:szCs w:val="18"/>
      <w:lang w:eastAsia="en-US" w:bidi="en-US"/>
    </w:rPr>
  </w:style>
  <w:style w:type="character" w:styleId="751" w:customStyle="1">
    <w:name w:val="Caption Char"/>
    <w:uiPriority w:val="99"/>
  </w:style>
  <w:style w:type="table" w:styleId="752">
    <w:name w:val="Table Grid"/>
    <w:basedOn w:val="688"/>
    <w:tblPr/>
  </w:style>
  <w:style w:type="table" w:styleId="753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Таблица простая 1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Таблица простая 2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Таблица простая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Таблица простая 4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Таблица простая 5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Таблица-сетка 1 светл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Таблица-сетка 2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Таблица-сетка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Таблица-сетка 4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Таблица-сетка 5 тем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Таблица-сетка 6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Таблица-сетка 7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Список-таблица 1 светл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Список-таблица 2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Список-таблица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Список-таблица 4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Список-таблица 5 тем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Список-таблица 6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Список-таблица 7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8">
    <w:name w:val="Hyperlink"/>
    <w:uiPriority w:val="99"/>
    <w:unhideWhenUsed/>
    <w:rPr>
      <w:color w:val="0000ff"/>
      <w:u w:val="single"/>
    </w:rPr>
  </w:style>
  <w:style w:type="paragraph" w:styleId="879">
    <w:name w:val="footnote text"/>
    <w:link w:val="880"/>
    <w:uiPriority w:val="99"/>
    <w:semiHidden/>
    <w:unhideWhenUsed/>
    <w:pPr>
      <w:spacing w:after="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18"/>
      <w:szCs w:val="22"/>
      <w:lang w:eastAsia="en-US" w:bidi="en-US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toc 1"/>
    <w:uiPriority w:val="39"/>
    <w:unhideWhenUsed/>
    <w:pPr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3">
    <w:name w:val="toc 2"/>
    <w:uiPriority w:val="39"/>
    <w:unhideWhenUsed/>
    <w:pPr>
      <w:ind w:left="283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4">
    <w:name w:val="toc 3"/>
    <w:uiPriority w:val="39"/>
    <w:unhideWhenUsed/>
    <w:pPr>
      <w:ind w:left="567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5">
    <w:name w:val="toc 4"/>
    <w:uiPriority w:val="39"/>
    <w:unhideWhenUsed/>
    <w:pPr>
      <w:ind w:left="850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6">
    <w:name w:val="toc 5"/>
    <w:uiPriority w:val="39"/>
    <w:unhideWhenUsed/>
    <w:pPr>
      <w:ind w:left="1134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7">
    <w:name w:val="toc 6"/>
    <w:uiPriority w:val="39"/>
    <w:unhideWhenUsed/>
    <w:pPr>
      <w:ind w:left="1417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8">
    <w:name w:val="toc 7"/>
    <w:uiPriority w:val="39"/>
    <w:unhideWhenUsed/>
    <w:pPr>
      <w:ind w:left="1701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9">
    <w:name w:val="toc 8"/>
    <w:uiPriority w:val="39"/>
    <w:unhideWhenUsed/>
    <w:pPr>
      <w:ind w:left="1984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0">
    <w:name w:val="toc 9"/>
    <w:uiPriority w:val="39"/>
    <w:unhideWhenUsed/>
    <w:pPr>
      <w:ind w:left="2268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1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2" w:customStyle="1">
    <w:name w:val="ConsPlusNonformat"/>
    <w:uiPriority w:val="99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/>
      <w:szCs w:val="22"/>
    </w:rPr>
  </w:style>
  <w:style w:type="paragraph" w:styleId="893">
    <w:name w:val="Balloon Text"/>
    <w:basedOn w:val="677"/>
    <w:semiHidden/>
    <w:rPr>
      <w:rFonts w:ascii="Tahoma" w:hAnsi="Tahoma"/>
      <w:sz w:val="16"/>
      <w:szCs w:val="16"/>
    </w:rPr>
  </w:style>
  <w:style w:type="paragraph" w:styleId="894" w:customStyle="1">
    <w:name w:val="Знак"/>
    <w:basedOn w:val="677"/>
    <w:pPr>
      <w:spacing w:after="160" w:line="240" w:lineRule="exact"/>
    </w:pPr>
    <w:rPr>
      <w:rFonts w:ascii="Verdana" w:hAnsi="Verdana"/>
      <w:szCs w:val="20"/>
      <w:lang w:val="en-US"/>
    </w:rPr>
  </w:style>
  <w:style w:type="character" w:styleId="895" w:customStyle="1">
    <w:name w:val="Верхний колонтитул Знак"/>
    <w:link w:val="746"/>
    <w:rPr>
      <w:sz w:val="24"/>
      <w:szCs w:val="24"/>
    </w:rPr>
  </w:style>
  <w:style w:type="character" w:styleId="896" w:customStyle="1">
    <w:name w:val="Нижний колонтитул Знак"/>
    <w:link w:val="748"/>
    <w:rPr>
      <w:sz w:val="24"/>
      <w:szCs w:val="24"/>
    </w:rPr>
  </w:style>
  <w:style w:type="paragraph" w:styleId="897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sz w:val="16"/>
      <w:szCs w:val="16"/>
    </w:rPr>
  </w:style>
  <w:style w:type="paragraph" w:styleId="898" w:customStyle="1">
    <w:name w:val="Знак"/>
    <w:basedOn w:val="677"/>
    <w:pPr>
      <w:spacing w:after="160" w:line="240" w:lineRule="exact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Verdana" w:hAnsi="Verdana"/>
      <w:szCs w:val="20"/>
      <w:lang w:val="en-US" w:bidi="ar-SA"/>
    </w:rPr>
  </w:style>
  <w:style w:type="paragraph" w:styleId="899">
    <w:name w:val="Normal (Web)"/>
    <w:basedOn w:val="677"/>
    <w:uiPriority w:val="99"/>
    <w:semiHidden/>
    <w:unhideWhenUsed/>
    <w:pPr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sz w:val="24"/>
      <w:szCs w:val="24"/>
      <w:lang w:eastAsia="ru-RU" w:bidi="ar-SA"/>
    </w:rPr>
  </w:style>
  <w:style w:type="paragraph" w:styleId="900" w:customStyle="1">
    <w:name w:val="headertext"/>
    <w:basedOn w:val="677"/>
    <w:qFormat/>
    <w:pPr>
      <w:spacing w:beforeAutospacing="1" w:after="16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sz w:val="24"/>
      <w:szCs w:val="24"/>
      <w:lang w:eastAsia="ru-RU" w:bidi="ar-SA"/>
    </w:rPr>
  </w:style>
  <w:style w:type="paragraph" w:styleId="901" w:customStyle="1">
    <w:name w:val="ConsPlusTitle"/>
    <w:uiPriority w:val="99"/>
    <w:qFormat/>
    <w:pPr>
      <w:widowControl w:val="off"/>
    </w:pPr>
    <w:rPr>
      <w:rFonts w:ascii="Calibri" w:hAnsi="Calibri" w:cs="Calibri"/>
      <w:b/>
      <w:color w:val="00000a"/>
      <w:sz w:val="22"/>
    </w:rPr>
  </w:style>
  <w:style w:type="paragraph" w:styleId="902">
    <w:name w:val="Body Text 3"/>
    <w:basedOn w:val="677"/>
    <w:link w:val="903"/>
    <w:uiPriority w:val="99"/>
    <w:semiHidden/>
    <w:unhideWhenUsed/>
    <w:pPr>
      <w:spacing w:after="120"/>
    </w:pPr>
    <w:rPr>
      <w:sz w:val="16"/>
      <w:szCs w:val="16"/>
    </w:rPr>
  </w:style>
  <w:style w:type="character" w:styleId="903" w:customStyle="1">
    <w:name w:val="Основной текст 3 Знак"/>
    <w:basedOn w:val="687"/>
    <w:link w:val="902"/>
    <w:uiPriority w:val="99"/>
    <w:semiHidden/>
    <w:rPr>
      <w:sz w:val="16"/>
      <w:szCs w:val="16"/>
      <w:lang w:eastAsia="en-US" w:bidi="en-US"/>
    </w:rPr>
  </w:style>
  <w:style w:type="character" w:styleId="904" w:customStyle="1">
    <w:name w:val="Без интервала Знак"/>
    <w:link w:val="737"/>
    <w:rPr>
      <w:szCs w:val="22"/>
      <w:lang w:eastAsia="en-US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A7896285B32E53E358893D05FCC41BD6941E02930E2A2B0B0609C123CE76062CF51252070F6939561E5BF053D2C05CCD8D95DF0F069F0AFEi4g9H" TargetMode="External"/><Relationship Id="rId12" Type="http://schemas.openxmlformats.org/officeDocument/2006/relationships/hyperlink" Target="consultantplus://offline/ref=A7896285B32E53E358892308EAA845DC911659990A2C255B5D5BC77491260079B55254524C2D34561E50A403979E059EC1DED20E10830AFF540FAD7Ci0gFH" TargetMode="External"/><Relationship Id="rId13" Type="http://schemas.openxmlformats.org/officeDocument/2006/relationships/hyperlink" Target="consultantplus://offline/ref=92006FFAEE161C5640293E4722EDB37ECEEF505CEF7551BBBC6E8E41329ADE479B60D10EF6DD62B7C208B6C4CF143375A8AF482ADAFF889Bh6MF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3B3B-3F6A-4E50-98E0-F8811E32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revision>5</cp:revision>
  <dcterms:created xsi:type="dcterms:W3CDTF">2024-06-04T09:14:00Z</dcterms:created>
  <dcterms:modified xsi:type="dcterms:W3CDTF">2025-06-17T07:47:12Z</dcterms:modified>
</cp:coreProperties>
</file>