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tabs>
          <w:tab w:val="left" w:pos="56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ab/>
      </w:r>
      <w:r/>
    </w:p>
    <w:p>
      <w:pPr>
        <w:pStyle w:val="901"/>
        <w:ind w:firstLine="0"/>
        <w:outlineLvl w:val="0"/>
      </w:pPr>
      <w:r/>
      <w:r/>
    </w:p>
    <w:p>
      <w:pPr>
        <w:jc w:val="center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предоставления из бюджета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Белгородской области субсидий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возмещение затрат на создание объектов инфраструктуры,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необходимой для реализации новых инвестиционных проектов</w:t>
      </w:r>
      <w:r/>
    </w:p>
    <w:p>
      <w:pPr>
        <w:jc w:val="center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sz w:val="28"/>
          <w:szCs w:val="28"/>
        </w:rPr>
        <w:t xml:space="preserve">в 2025-2029 годах</w:t>
      </w:r>
      <w:r/>
    </w:p>
    <w:p>
      <w:pPr>
        <w:rPr>
          <w:rFonts w:hAnsi="Times New Roman" w:cs="Times New Roman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sz w:val="28"/>
          <w:szCs w:val="28"/>
        </w:rPr>
      </w:r>
      <w:r/>
    </w:p>
    <w:p>
      <w:pPr>
        <w:rPr>
          <w:rFonts w:hAnsi="Times New Roman" w:cs="Times New Roman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В соответствии со </w:t>
      </w:r>
      <w:hyperlink w:history="1">
        <w:r>
          <w:rPr>
            <w:rFonts w:hAnsi="Times New Roman" w:cs="Times New Roman"/>
            <w:color w:val="000000"/>
            <w:sz w:val="28"/>
            <w:szCs w:val="28"/>
          </w:rPr>
          <w:t xml:space="preserve">статьей 78</w:t>
        </w:r>
      </w:hyperlink>
      <w:r>
        <w:rPr>
          <w:rFonts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постановлениями Правительства Российской Федерации              </w:t>
      </w:r>
      <w:r>
        <w:rPr>
          <w:rFonts w:hAnsi="Times New Roman" w:cs="Times New Roman"/>
          <w:color w:val="000000"/>
          <w:sz w:val="28"/>
          <w:szCs w:val="28"/>
        </w:rPr>
        <w:t xml:space="preserve">                от 25 октября 2023 года № 1782 «Об утверждении общих требований                          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hAnsi="Times New Roman" w:cs="Times New Roman"/>
          <w:color w:val="000000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hAnsi="Times New Roman" w:cs="Times New Roman"/>
          <w:color w:val="000000"/>
          <w:sz w:val="28"/>
          <w:szCs w:val="28"/>
        </w:rPr>
        <w:br/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в рамках реализации ведомственного проекта «Реализация мероприятий </w:t>
      </w:r>
      <w:r>
        <w:rPr>
          <w:rFonts w:hAnsi="Times New Roman" w:cs="Times New Roman"/>
          <w:color w:val="000000"/>
          <w:sz w:val="28"/>
          <w:shd w:val="clear" w:color="auto" w:fill="ffffff"/>
        </w:rPr>
        <w:br/>
        <w:t xml:space="preserve">по привлечению инвестиций и работе с инвесторами» государственной программы Белгородской области «Развитие экономического потенциала </w:t>
      </w:r>
      <w:r>
        <w:rPr>
          <w:rFonts w:hAnsi="Times New Roman" w:cs="Times New Roman"/>
          <w:color w:val="000000"/>
          <w:sz w:val="28"/>
          <w:shd w:val="clear" w:color="auto" w:fill="ffffff"/>
        </w:rPr>
        <w:br/>
        <w:t xml:space="preserve">и формирование благоприятного предпринимательского климата                          в Белгородской области», утвержденной постановлением Правительства Белгородской области от 25 декабря 2023 года № 750-пп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п о с т а н о в л я е т: </w:t>
      </w:r>
      <w:r/>
    </w:p>
    <w:p>
      <w:pPr>
        <w:ind w:firstLine="720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sz w:val="28"/>
          <w:szCs w:val="28"/>
        </w:rPr>
        <w:t xml:space="preserve">1. Утвердить </w:t>
      </w:r>
      <w:r>
        <w:rPr>
          <w:rFonts w:hAnsi="Times New Roman" w:cs="Times New Roman"/>
          <w:color w:val="000000"/>
          <w:sz w:val="28"/>
          <w:szCs w:val="28"/>
        </w:rPr>
        <w:t xml:space="preserve">Порядок предоставления из бюджета Белгородской области субсидий</w:t>
      </w:r>
      <w:r>
        <w:rPr>
          <w:rFonts w:hAnsi="Times New Roman" w:cs="Times New Roman"/>
          <w:sz w:val="28"/>
          <w:szCs w:val="28"/>
        </w:rPr>
        <w:t xml:space="preserve"> юридическим лицам на возмещение затрат на создание объектов инфраструктуры, необходимой для реализации новых инвестиционных проектов в 2025-2029 годах (прилагается).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                   на первого заместителя Губернатора Белгородской области Пономарева И.В.</w:t>
      </w:r>
      <w:r/>
    </w:p>
    <w:p>
      <w:pPr>
        <w:contextualSpacing/>
        <w:ind w:firstLine="720"/>
        <w:jc w:val="both"/>
        <w:tabs>
          <w:tab w:val="left" w:pos="1134" w:leader="none"/>
        </w:tabs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опубликования.</w:t>
      </w:r>
      <w:r/>
    </w:p>
    <w:p>
      <w:pPr>
        <w:contextualSpacing/>
        <w:jc w:val="both"/>
        <w:tabs>
          <w:tab w:val="left" w:pos="1134" w:leader="none"/>
        </w:tabs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1134" w:leader="none"/>
        </w:tabs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</w:r>
      <w:r/>
    </w:p>
    <w:tbl>
      <w:tblPr>
        <w:tblpPr w:horzAnchor="margin" w:tblpXSpec="left" w:vertAnchor="text" w:tblpY="154" w:leftFromText="180" w:topFromText="0" w:rightFromText="180" w:bottomFromText="0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>
        <w:trPr/>
        <w:tc>
          <w:tcPr>
            <w:shd w:val="clear" w:color="auto" w:fill="ffffff"/>
            <w:tcW w:w="3652" w:type="dxa"/>
            <w:textDirection w:val="lrTb"/>
            <w:noWrap w:val="false"/>
          </w:tcPr>
          <w:p>
            <w:pPr>
              <w:keepNext/>
              <w:tabs>
                <w:tab w:val="left" w:pos="720" w:leader="none"/>
                <w:tab w:val="left" w:pos="9360" w:leader="none"/>
              </w:tabs>
              <w:rPr>
                <w:rFonts w:hAnsi="Times New Roman" w:cs="Times New Roman"/>
                <w:sz w:val="28"/>
                <w:szCs w:val="28"/>
              </w:rPr>
              <w:outlineLvl w:val="0"/>
            </w:pPr>
            <w:r>
              <w:rPr>
                <w:rFonts w:hAnsi="Times New Roman" w:cs="Times New Roman"/>
                <w:b/>
                <w:bCs/>
                <w:iCs/>
                <w:sz w:val="28"/>
                <w:szCs w:val="28"/>
              </w:rPr>
              <w:t xml:space="preserve">         Губернатор</w:t>
            </w:r>
            <w:r/>
          </w:p>
          <w:p>
            <w:pPr>
              <w:tabs>
                <w:tab w:val="left" w:pos="0" w:leader="none"/>
                <w:tab w:val="left" w:pos="720" w:leader="none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iCs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shd w:val="clear" w:color="auto" w:fill="ffffff"/>
            <w:tcW w:w="6095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720" w:leader="none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В.В. Гладков</w:t>
            </w:r>
            <w:r/>
          </w:p>
        </w:tc>
      </w:tr>
    </w:tbl>
    <w:p>
      <w:pPr>
        <w:ind w:left="5244"/>
        <w:jc w:val="center"/>
        <w:rPr>
          <w:rFonts w:hAnsi="Times New Roman" w:cs="Times New Roman"/>
          <w:sz w:val="28"/>
          <w:szCs w:val="28"/>
        </w:rPr>
        <w:outlineLvl w:val="0"/>
      </w:pPr>
      <w:r>
        <w:rPr>
          <w:rFonts w:hAnsi="Times New Roman" w:cs="Times New Roman"/>
          <w:sz w:val="28"/>
          <w:szCs w:val="28"/>
        </w:rPr>
      </w:r>
      <w:r/>
    </w:p>
    <w:p>
      <w:pPr>
        <w:ind w:left="5244"/>
        <w:jc w:val="center"/>
        <w:rPr>
          <w:rFonts w:hAnsi="Times New Roman" w:eastAsia="Calibri" w:cs="Times New Roman"/>
          <w:b/>
          <w:bCs/>
          <w:sz w:val="28"/>
          <w:szCs w:val="28"/>
        </w:rPr>
        <w:outlineLvl w:val="0"/>
      </w:pPr>
      <w:r>
        <w:rPr>
          <w:rFonts w:hAnsi="Times New Roman" w:eastAsia="Calibri" w:cs="Times New Roman"/>
          <w:b/>
          <w:bCs/>
          <w:sz w:val="28"/>
          <w:szCs w:val="28"/>
        </w:rPr>
      </w:r>
      <w:r/>
    </w:p>
    <w:p>
      <w:pPr>
        <w:rPr>
          <w:rFonts w:hAnsi="Times New Roman" w:eastAsia="Calibri" w:cs="Times New Roman"/>
          <w:b/>
          <w:bCs/>
          <w:sz w:val="28"/>
          <w:szCs w:val="28"/>
        </w:rPr>
        <w:outlineLvl w:val="0"/>
      </w:pPr>
      <w:r>
        <w:rPr>
          <w:rFonts w:hAnsi="Times New Roman" w:eastAsia="Calibri" w:cs="Times New Roman"/>
          <w:b/>
          <w:bCs/>
          <w:sz w:val="28"/>
          <w:szCs w:val="28"/>
        </w:rPr>
      </w:r>
      <w:r/>
    </w:p>
    <w:p>
      <w:pPr>
        <w:ind w:left="5244"/>
        <w:jc w:val="center"/>
        <w:rPr>
          <w:rFonts w:hAnsi="Times New Roman" w:eastAsia="Calibri" w:cs="Times New Roman"/>
          <w:b/>
          <w:bCs/>
          <w:sz w:val="28"/>
          <w:szCs w:val="28"/>
        </w:rPr>
        <w:outlineLvl w:val="0"/>
      </w:pPr>
      <w:r>
        <w:rPr>
          <w:rFonts w:hAnsi="Times New Roman" w:eastAsia="Calibri" w:cs="Times New Roman"/>
          <w:b/>
          <w:sz w:val="28"/>
          <w:szCs w:val="28"/>
        </w:rPr>
        <w:t xml:space="preserve">Приложение</w:t>
      </w:r>
      <w:r/>
    </w:p>
    <w:p>
      <w:pPr>
        <w:contextualSpacing/>
        <w:ind w:left="5244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к постановлению Правительства</w:t>
      </w:r>
      <w:r>
        <w:rPr>
          <w:rFonts w:hAnsi="Times New Roman" w:cs="Times New Roman"/>
          <w:b/>
          <w:sz w:val="28"/>
          <w:szCs w:val="28"/>
        </w:rPr>
        <w:br/>
        <w:t xml:space="preserve">Белгородской области</w:t>
      </w:r>
      <w:r>
        <w:rPr>
          <w:rFonts w:hAnsi="Times New Roman" w:cs="Times New Roman"/>
          <w:b/>
          <w:sz w:val="28"/>
          <w:szCs w:val="28"/>
        </w:rPr>
        <w:br/>
        <w:t xml:space="preserve">от </w:t>
      </w:r>
      <w:r>
        <w:rPr>
          <w:rFonts w:hAnsi="Times New Roman" w:eastAsia="Calibri" w:cs="Times New Roman"/>
          <w:sz w:val="28"/>
          <w:szCs w:val="28"/>
        </w:rPr>
        <w:t xml:space="preserve">_____________</w:t>
      </w:r>
      <w:r>
        <w:rPr>
          <w:rFonts w:hAnsi="Times New Roman" w:cs="Times New Roman"/>
          <w:b/>
          <w:sz w:val="28"/>
          <w:szCs w:val="28"/>
        </w:rPr>
        <w:t xml:space="preserve"> 2025 г.</w:t>
      </w:r>
      <w:r/>
    </w:p>
    <w:p>
      <w:pPr>
        <w:contextualSpacing/>
        <w:ind w:left="5244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№ </w:t>
      </w:r>
      <w:r>
        <w:rPr>
          <w:rFonts w:hAnsi="Times New Roman" w:eastAsia="Calibri" w:cs="Times New Roman"/>
          <w:sz w:val="28"/>
          <w:szCs w:val="28"/>
        </w:rPr>
        <w:t xml:space="preserve">________</w:t>
      </w:r>
      <w:r/>
    </w:p>
    <w:p>
      <w:pPr>
        <w:pStyle w:val="90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предоставления из бюджета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Белгородской области субсидий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возмещение затрат на создание объектов инфраструктуры,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необходимой для реализации новых инвестиционных проектов</w:t>
      </w:r>
      <w:r/>
    </w:p>
    <w:p>
      <w:pPr>
        <w:jc w:val="center"/>
        <w:rPr>
          <w:rFonts w:hAnsi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sz w:val="28"/>
          <w:szCs w:val="28"/>
        </w:rPr>
        <w:t xml:space="preserve">в 2025-2029 годах</w:t>
      </w:r>
      <w:r/>
    </w:p>
    <w:p>
      <w:pPr>
        <w:jc w:val="center"/>
        <w:rPr>
          <w:rFonts w:hAnsi="Times New Roman" w:cs="Times New Roman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Ansi="Times New Roman" w:cs="Times New Roman"/>
          <w:b/>
          <w:bCs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рядок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 в 2025-2029 годах (далее – Порядок) определяет цели, условия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порядок предоставления субсидий из областного бюджета в рамках реализации ведомственного проекта «Реализация мероприятий по привлечению инвестици</w:t>
      </w:r>
      <w:r>
        <w:rPr>
          <w:rFonts w:ascii="Times New Roman" w:hAnsi="Times New Roman" w:cs="Times New Roman"/>
          <w:sz w:val="28"/>
          <w:szCs w:val="28"/>
        </w:rPr>
        <w:t xml:space="preserve">й и работе с инвесторами»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2023 года № 750-пп (далее – субсидия).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Для целей реализации Порядка используются следующие понятия: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Министерство – министерство экономического развития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и промышленности Белгородской области, являющееся исполнительным органом Белгородской области, уполномоченным на заключение                                  соглашения о предоставлении субсидии;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понятие новый инвестиционный проект (далее – НИП) используется                      в значении,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м постановлением Правительства Российской Федерации от 1 февраля 2025 года № 79 «Об утверждении Правил списания задолженности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кредитам» (далее – Постановление № 79);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коммерческие организации,                            не являющиеся государственными (муниципальными) унитарными предприятиями и юридическими лицами, 100 процентов акций (долей)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которых принадлежат Российской Федерации, субъекту Российской Федерации, реализующие на территории Белгородской области; НИП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– соглашение о предоставлении из областного бюджета субсидии на возмещение затрат по созданию объектов инфраструктуры, необходимых для реализации НИП в 2025-2029 годах,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реализации ведомственного проекта «Реализация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привлечению инвестиций и работ с инвесторами» государственной программы Белгородской области «Развитие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Белгородской области», утвержденной постановлением Правительства Белгородской области от 25 декабря 2023 года № 750-пп;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– субсидия из областного бюджета субсидии на возмещение затрат по созданию объектов инфраструктуры, необходимых для реализации НИП в 2025-2029 годах,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ведомственного проекта «Реализация мероприятий по привлечению инвестиций и работ с инвесторами»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Белгородской области», утвержденной постановлением Правительства Белгородской области от 25 декабря 2023 года № 750-пп;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– участник отбора, признанный победителем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итогам отбора, в отношении которого подписан протокол подведения итогов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получателей субсидий;</w:t>
      </w:r>
      <w:r/>
    </w:p>
    <w:p>
      <w:pPr>
        <w:ind w:firstLine="720"/>
        <w:jc w:val="both"/>
        <w:rPr>
          <w:rFonts w:hAnsi="Times New Roman" w:eastAsia="PT Serif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объекты инфрастуктуры – объекты транспортной, инженерной инфраструктуры, а также подключение (технологическое присоединение) объектов капитального и некапитального строительства к сетям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инженерно-технического обеспечения.</w:t>
      </w:r>
      <w:r/>
    </w:p>
    <w:p>
      <w:pPr>
        <w:ind w:firstLine="720"/>
        <w:jc w:val="both"/>
        <w:rPr>
          <w:rFonts w:hAnsi="Times New Roman" w:eastAsia="Liberation Sans" w:cs="Times New Roman"/>
          <w:color w:val="000000" w:themeColor="text1"/>
          <w:sz w:val="28"/>
          <w:szCs w:val="28"/>
        </w:rPr>
      </w:pPr>
      <w:r>
        <w:rPr>
          <w:rFonts w:hAnsi="Times New Roman" w:eastAsia="PT Serif" w:cs="Times New Roman"/>
          <w:color w:val="000000" w:themeColor="text1"/>
          <w:sz w:val="28"/>
          <w:szCs w:val="28"/>
        </w:rPr>
        <w:t xml:space="preserve">объекты транспортной инфраструктуры - технологический комплекс, включающий в себя участки автомобильных дорог, а также иные обеспечивающие функционирование транспортного комплекса здания, сооружения, устройства и оборудование.</w:t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 xml:space="preserve"> </w:t>
      </w:r>
      <w:r/>
    </w:p>
    <w:p>
      <w:pPr>
        <w:ind w:firstLine="720"/>
        <w:jc w:val="both"/>
        <w:spacing w:after="300"/>
        <w:shd w:val="clear" w:color="ffffff" w:fill="ffffff"/>
        <w:rPr>
          <w:rFonts w:hAnsi="Times New Roman" w:eastAsia="Liberation Sans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hAnsi="Times New Roman" w:eastAsia="PT Serif" w:cs="Times New Roman"/>
          <w:color w:val="000000" w:themeColor="text1"/>
          <w:sz w:val="28"/>
          <w:szCs w:val="28"/>
        </w:rPr>
        <w:t xml:space="preserve">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</w:t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br/>
        <w:t xml:space="preserve">и (или) сооружения, а также совокупность таких сетей; </w:t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 xml:space="preserve">о</w:t>
      </w:r>
      <w:r>
        <w:rPr>
          <w:rFonts w:hAnsi="Times New Roman" w:eastAsia="Liberation Sans" w:cs="Times New Roman"/>
          <w:color w:val="000000" w:themeColor="text1"/>
          <w:sz w:val="28"/>
          <w:szCs w:val="28"/>
          <w:highlight w:val="white"/>
        </w:rPr>
        <w:t xml:space="preserve">бъекты инженерной инфраструктуры - элементы, которые обеспечивают подачу ресурсов (воды, энергии, информации и других) на объекты потребления и, при необходимости, отведение использованных (резервных) ресурсов.</w:t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 xml:space="preserve"> </w:t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Liberation Sans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 xml:space="preserve">система инженерно-технического обеспечения - одна из систем здания или сооружения, предназначенная для выполнения ф</w:t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 xml:space="preserve">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eastAsia="PT Serif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 xml:space="preserve">технологическое присоединение – технологическое присоединение объектов инфраструктуры к электрическим сетям, и (или) к централизованным системам водоснабжения и (или) водоотведения, и (или) к </w:t>
      </w:r>
      <w:r>
        <w:rPr>
          <w:rFonts w:hAnsi="Times New Roman" w:cs="Times New Roman"/>
          <w:sz w:val="28"/>
          <w:szCs w:val="28"/>
        </w:rPr>
        <w:t xml:space="preserve">сетям газораспределения </w:t>
      </w:r>
      <w:r>
        <w:rPr>
          <w:rFonts w:hAnsi="Times New Roman" w:eastAsia="Roboto" w:cs="Times New Roman"/>
          <w:color w:val="000000"/>
          <w:sz w:val="28"/>
          <w:szCs w:val="28"/>
          <w:highlight w:val="white"/>
        </w:rPr>
        <w:t xml:space="preserve">до границы земельного участка и (или) в границах земельных участков объектов капитального строительства и некапитального строительства.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1.3. Цель предоставления </w:t>
      </w:r>
      <w:r>
        <w:rPr>
          <w:rFonts w:hAnsi="Times New Roman" w:cs="Times New Roman"/>
          <w:sz w:val="28"/>
          <w:szCs w:val="28"/>
        </w:rPr>
        <w:t xml:space="preserve">субсидии – возмещение понесенных затрат инвесторам на необходимую инфраструктуру для реализации новых инвестиционных проектов за счет средств, высвобождаемых в результате списания две трети реструктурированной задолженности по отдельным бюджетным кредитам </w:t>
      </w:r>
      <w:r>
        <w:rPr>
          <w:rFonts w:hAnsi="Times New Roman" w:cs="Times New Roman"/>
          <w:sz w:val="28"/>
          <w:szCs w:val="28"/>
        </w:rPr>
        <w:t xml:space="preserve">в соответствии с ведомственным проектом «Реализация мероприятий по привлечению инвестиций и работе с инвесторами»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hAnsi="Times New Roman" w:cs="Times New Roman"/>
          <w:sz w:val="28"/>
          <w:szCs w:val="28"/>
        </w:rPr>
        <w:br/>
        <w:t xml:space="preserve">в Белгородской области», утвержденной постановлением Правительства Белгородской области от 25 декабря 2023 года № 750-пп.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1.4. Предоставление субсидии осуществляется за счет сред</w:t>
      </w:r>
      <w:r>
        <w:rPr>
          <w:rFonts w:hAnsi="Times New Roman" w:cs="Times New Roman"/>
          <w:sz w:val="28"/>
          <w:szCs w:val="28"/>
        </w:rPr>
        <w:t xml:space="preserve">ств областного бюджета в пределах бюджетных ассигнований, предусмотренных в законе Белгородской области о бюджете Белгородской области на соответствующий финансовый год и плановый период на цель, указанную в пункте 1.3 раздела                    1 Порядка.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1.5. Главным распорядителем бюджетных средств является Министерство, до которого в соответс</w:t>
      </w:r>
      <w:r>
        <w:rPr>
          <w:rFonts w:hAnsi="Times New Roman" w:cs="Times New Roman"/>
          <w:sz w:val="28"/>
          <w:szCs w:val="28"/>
        </w:rPr>
        <w:t xml:space="preserve">твии с бюджетным законодательством Российской Федерации как получателя бюджетных средств доведены                         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1.6. Категория получателей субсидий – юридические лица – коммерческие организации, не </w:t>
      </w:r>
      <w:r>
        <w:rPr>
          <w:rFonts w:hAnsi="Times New Roman" w:cs="Times New Roman"/>
          <w:sz w:val="28"/>
          <w:szCs w:val="28"/>
        </w:rPr>
        <w:t xml:space="preserve">являющиеся государственными (муниципальными) унитарными предприятиями и юридическими лицами,            100 процентов акций (долей) которых принадлежат Российской Федерации, субъекту Российской Федерации, реализующие на территории Белгородской области НИП.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1.7. Получатель (получатели) субсидии определяются по результатам отбора получателей субсидий (далее – отбор). Способом проведения отбора является запрос предложений.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1.8. Способ предоставления субсидии – возмещение затрат.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1.9. Сведения о субсидиях размещаются на едином портале бюджетной системы Российской Федерации в сети Интернет (далее – единый портал)                       (в разделе единого портала) в порядке, установленном Министерством финансов Российской Федерации.</w:t>
      </w:r>
      <w:r/>
    </w:p>
    <w:p>
      <w:pPr>
        <w:jc w:val="center"/>
        <w:spacing w:after="120"/>
        <w:shd w:val="clear" w:color="ffffff" w:fill="ffffff"/>
        <w:rPr>
          <w:rFonts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2. Условия и порядок предоставления субсидий</w:t>
      </w:r>
      <w:r/>
    </w:p>
    <w:p>
      <w:pPr>
        <w:pStyle w:val="901"/>
        <w:ind w:firstLine="709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Направлениями затрат по созданию объектов инфраструктуры,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возмещение которых предоставляется субсидия, являются затраты: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P6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- на выполнение инженерных изысканий;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 на проектирование, экспертизу проектной документации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инженерных изысканий;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строительство, реконструкцию и ввод в эксплуатацию объектов транспортной и инженерной инфраструктуры;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 на подключение (технологическое присоединение) объектов капитального и некапитального строительства к сетям инженерно-технического обеспечения.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Требования, которым должны соответствовать участники отбора (получатели субсидии) по состоянию на даты рассмотрения заявки на участие           в отборе (далее – заявка) и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участник отбора (получатель субсидии) реализует на территории Белгородской области НИП;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участником отбора (получателем субсидии) объекты инфраструктуры, введены в эксплуатацию после 1 марта 2024 года;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участник отбора (получатель субсидии) не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 (за исключением реорганизации в форме присоединения                                     к юридическому лицу, являющемуся получателем субсидии (участником отбора), другого юридического лица), ликвидации, в отношении него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не введена процедура банкротства, деятельность участника отбора (получателя субсидии)  не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приостановлена в порядке, предусмотренном законодательством 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участника отбора (получателя субсидии) отсутствует просроченная задолженность по возврату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                    по денежным обязательствам перед Белгородской областью;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tooltip="https://login.consultant.ru/link/?req=doc&amp;base=LAW&amp;n=483130&amp;dst=576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                               в Российской Федерации (далее – офшорные компании),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лицом, в уставном (складочном) капитале которого доля прямого или косвенного (через третьих лиц) участия офшорных компаний                                  в совокупности превышает 25 процентов (если иное не предусмотрено </w:t>
      </w:r>
      <w:r>
        <w:rPr>
          <w:rFonts w:hAnsi="Times New Roman" w:cs="Times New Roman"/>
          <w:sz w:val="28"/>
          <w:szCs w:val="28"/>
        </w:rPr>
        <w:t xml:space="preserve">законодате</w:t>
      </w:r>
      <w:r>
        <w:rPr>
          <w:rFonts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>
        <w:rPr>
          <w:rFonts w:hAnsi="Times New Roman" w:cs="Times New Roman"/>
          <w:sz w:val="28"/>
          <w:szCs w:val="28"/>
        </w:rPr>
        <w:t xml:space="preserve">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участник отбора (получатель субсидии) не получает средства </w:t>
      </w:r>
      <w:r>
        <w:rPr>
          <w:rFonts w:hAnsi="Times New Roman" w:cs="Times New Roman"/>
          <w:sz w:val="28"/>
          <w:szCs w:val="28"/>
        </w:rPr>
        <w:br/>
        <w:t xml:space="preserve">из областного бюджета на основании настоящего Порядка и иных нормативных правовых актов области на цели, указанные в пункте 1.</w:t>
      </w:r>
      <w:hyperlink w:history="1">
        <w:r>
          <w:rPr>
            <w:rFonts w:hAnsi="Times New Roman" w:cs="Times New Roman"/>
            <w:sz w:val="28"/>
            <w:szCs w:val="28"/>
          </w:rPr>
          <w:t xml:space="preserve">3</w:t>
        </w:r>
      </w:hyperlink>
      <w:r>
        <w:rPr>
          <w:rFonts w:hAnsi="Times New Roman" w:cs="Times New Roman"/>
          <w:sz w:val="28"/>
          <w:szCs w:val="28"/>
        </w:rPr>
        <w:t xml:space="preserve"> раздела </w:t>
      </w:r>
      <w:r>
        <w:rPr>
          <w:rFonts w:hAnsi="Times New Roman" w:cs="Times New Roman"/>
          <w:sz w:val="28"/>
          <w:szCs w:val="28"/>
        </w:rPr>
        <w:br/>
        <w:t xml:space="preserve">1 Порядка;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участник отбора (получатель субсидии) не находится  в перечне организаций и физических лиц, в отношении которых имеются сведения                    об их причастности к экстремистской деятельности или терроризму;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- участник отбора (получатель субсидии) не находится в составляемых                   в рамках реализации полномочий, предусмотренных </w:t>
      </w:r>
      <w:hyperlink w:history="1">
        <w:r>
          <w:rPr>
            <w:rFonts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hAnsi="Times New Roman" w:cs="Times New Roman"/>
          <w:sz w:val="28"/>
          <w:szCs w:val="28"/>
        </w:rPr>
        <w:t xml:space="preserve"> Ус</w:t>
      </w:r>
      <w:r>
        <w:rPr>
          <w:rFonts w:hAnsi="Times New Roman" w:cs="Times New Roman"/>
          <w:sz w:val="28"/>
          <w:szCs w:val="28"/>
        </w:rPr>
        <w:t xml:space="preserve">тава ООН, </w:t>
      </w:r>
      <w:r>
        <w:rPr>
          <w:rFonts w:ascii="Times New Roman" w:hAnsi="Times New Roman" w:cs="Times New Roman"/>
          <w:sz w:val="28"/>
          <w:szCs w:val="28"/>
        </w:rPr>
        <w:t xml:space="preserve">Советом Безопасности ООН или органами, специально созданными решениями С</w:t>
      </w:r>
      <w:r>
        <w:rPr>
          <w:rFonts w:ascii="Times New Roman" w:hAnsi="Times New Roman" w:cs="Times New Roman"/>
          <w:sz w:val="28"/>
          <w:szCs w:val="28"/>
        </w:rPr>
        <w:t xml:space="preserve">овета Безопасности ООН, перечнях организаций и физических лиц,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отбора (получатель субсидии) не является иностранным агентом в соответствии с Федеральным </w:t>
      </w:r>
      <w:hyperlink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года № 255  «О контроле за деятельностью лиц, находящи</w:t>
      </w:r>
      <w:r>
        <w:rPr>
          <w:rFonts w:ascii="Times New Roman" w:hAnsi="Times New Roman" w:cs="Times New Roman"/>
          <w:sz w:val="28"/>
          <w:szCs w:val="28"/>
        </w:rPr>
        <w:t xml:space="preserve">хся под иностранным влиянием»; </w:t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" w:hAnsi="Times New Roman" w:cs="Times New Roman"/>
          <w:sz w:val="28"/>
          <w:szCs w:val="28"/>
        </w:rPr>
        <w:t xml:space="preserve">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(наличие лицензии, аккредитации).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.3. Проведение Министерством проверки на соответствие требованиям, указанным в пункте 2.2 раздела 2 Порядка, осуществляется в рамках рассмотрения заявок в порядке и сроки, предусмотренные пун</w:t>
      </w:r>
      <w:r>
        <w:rPr>
          <w:rFonts w:ascii="Times New Roman" w:hAnsi="Times New Roman" w:cs="Times New Roman"/>
          <w:sz w:val="28"/>
          <w:szCs w:val="28"/>
        </w:rPr>
        <w:t xml:space="preserve">ктом</w:t>
      </w:r>
      <w:r>
        <w:rPr>
          <w:rFonts w:ascii="Times New Roman" w:hAnsi="Times New Roman" w:cs="Times New Roman"/>
          <w:sz w:val="28"/>
          <w:szCs w:val="28"/>
        </w:rPr>
        <w:t xml:space="preserve"> 5.8 раздела 5 Порядка, а также в дату подписания соглашения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2.12 раздела 2 Порядка на основании документов, представленных  в соответствии с пунктами 3.</w:t>
      </w:r>
      <w:r>
        <w:rPr>
          <w:rFonts w:hAnsi="Times New Roman" w:cs="Times New Roman"/>
          <w:sz w:val="28"/>
          <w:szCs w:val="28"/>
        </w:rPr>
        <w:t xml:space="preserve">6 и 3.7 раздела 3 Порядка. </w:t>
      </w:r>
      <w:r/>
    </w:p>
    <w:p>
      <w:pPr>
        <w:ind w:firstLine="720"/>
        <w:jc w:val="both"/>
        <w:rPr>
          <w:rFonts w:hAnsi="Times New Roman" w:cs="Times New Roman"/>
          <w:color w:val="000000"/>
          <w:sz w:val="28"/>
          <w:szCs w:val="28"/>
        </w:rPr>
        <w:outlineLvl w:val="1"/>
      </w:pPr>
      <w:r/>
      <w:bookmarkStart w:id="1" w:name="P180"/>
      <w:r/>
      <w:bookmarkEnd w:id="1"/>
      <w:r>
        <w:rPr>
          <w:rFonts w:hAnsi="Times New Roman" w:cs="Times New Roman"/>
          <w:sz w:val="28"/>
          <w:szCs w:val="28"/>
        </w:rPr>
        <w:t xml:space="preserve">2.4. Проверка участника отбора получателей субсидий на соответствие требованиям, указанным в пункте 2.2 раздела 2 Порядка, осуще</w:t>
      </w:r>
      <w:r>
        <w:rPr>
          <w:rFonts w:hAnsi="Times New Roman" w:cs="Times New Roman"/>
          <w:sz w:val="28"/>
          <w:szCs w:val="28"/>
        </w:rPr>
        <w:t xml:space="preserve">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в сроки, предусмотренные пунктом 5.8 раздела 5 Порядка</w:t>
      </w:r>
      <w:r>
        <w:rPr>
          <w:rFonts w:hAnsi="Times New Roman" w:cs="Times New Roman"/>
          <w:color w:val="000000"/>
          <w:sz w:val="28"/>
          <w:szCs w:val="28"/>
        </w:rPr>
        <w:t xml:space="preserve">.</w:t>
      </w:r>
      <w:r/>
    </w:p>
    <w:p>
      <w:pPr>
        <w:jc w:val="both"/>
        <w:rPr>
          <w:rFonts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 xml:space="preserve">2.5. </w:t>
      </w:r>
      <w:r>
        <w:rPr>
          <w:rFonts w:hAnsi="Times New Roman" w:cs="Times New Roman"/>
          <w:color w:val="000000"/>
          <w:sz w:val="28"/>
          <w:szCs w:val="28"/>
          <w:highlight w:val="white"/>
        </w:rPr>
        <w:tab/>
        <w:t xml:space="preserve">Размер субсидии (С) определяется на основании направлений, указанных в пункте 2.1 раздела 2 Порядка, и рассчитывается по формуле:</w:t>
      </w:r>
      <w:r/>
    </w:p>
    <w:p>
      <w:pPr>
        <w:pStyle w:val="90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= 31 + 32 + 33 + 34,</w:t>
      </w:r>
      <w:r/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31 – фактически понесенные затраты на выполннение инженерных изысканий без учета налога на добавленную стоимость;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32 – фактически понесенные затраты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проектирование, экспертизу проектной документации и (или) результатов инженерных изысканий без учета налога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добавленную стоимость;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фактически понесенные затраты на строительство, реконструкцию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ввод в эксплуатацию объектов транспортной и инженерной инфраструктуры                     без  учета налога на добавленную стоимость;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34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фактически понесенные затраты на подключение (технологическое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присоединение) объектов капитального и некапитального строительства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сетям инженерно-технического обеспечения без учета налога на добавленную стоимость.</w:t>
      </w:r>
      <w:r/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Предоставление субсидий определяется исходя из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НИП,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очередности поступления заявок на участие в отборе участников, являющихся получателями субсидии, в пределах бюджетных ассигнований на обеспечение реализации соответствующего мероприятия программы 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 пределах лимитов бюджетных ассигнований, указанных в </w:t>
      </w:r>
      <w:hyperlink w:tooltip="#P64" w:anchor="P64" w:history="1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highlight w:val="white"/>
          </w:rPr>
          <w:t xml:space="preserve">пункте 1.4 раздела 1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Порядка.</w:t>
      </w:r>
      <w:r/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Оценка эффективности НИП производится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на основании критериев, оценки новых инвестиционных проектов, согласно приложению № 1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br/>
        <w:t xml:space="preserve">к Порядку.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2.7. По каждому критерию, предусмотренному приложением № 1 </w:t>
      </w: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br/>
        <w:t xml:space="preserve">к Порядку, присуждаются баллы. 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Количеств</w:t>
      </w: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о баллов равно количеству НИП. Наибольший балл присуждается наибольшему значению оцениваемого критерия. Далее баллы присуждаются в порядке убывания согласно значению оцениваемого критерия. Один балл присуждается наименьшему значению оцениваемого критерия. 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В случае равенства значений оцениваемых критериев разных НИП, больший балл присуждается НИП, заявка по которому была подана ранее.</w:t>
      </w:r>
      <w:r/>
    </w:p>
    <w:p>
      <w:pPr>
        <w:pStyle w:val="917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ab/>
        <w:t xml:space="preserve">2.8. Результатом предоставления субсидии по с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остоянию на 31 декабря 2032 года являются: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привлечение получателем субсидии инвестиций в объеме не менее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в заявке;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рабочих мест в количестве не менее указанного в заявке;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обеспечение получателем субсидии объема налоговых отчислений (доходов) в областной и местный бюджеты, в объеме не менее установленного                       в заявке;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получателем субсидии объема налоговых отчислений (доходов) в федеральный бюджет, в объеме не менее установленного                       в заявке.</w:t>
      </w:r>
      <w:r/>
    </w:p>
    <w:p>
      <w:pPr>
        <w:ind w:firstLine="72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Результат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</w:t>
      </w:r>
      <w:r>
        <w:rPr>
          <w:rFonts w:hAnsi="Times New Roman" w:cs="Times New Roman"/>
          <w:sz w:val="28"/>
          <w:szCs w:val="28"/>
        </w:rPr>
        <w:br/>
        <w:t xml:space="preserve">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устанавливаются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соглашении о предоставлении субсидии.</w:t>
      </w:r>
      <w:r/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 Соглашение о предоставлении субсидии между Министерством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победителем отбора заключается в соответствии с типовой формой, установленной Министерством финансов Российской Федерации, в единой системе управления </w:t>
      </w:r>
      <w:hyperlink r:id="rId13" w:tooltip="Государственный бюджет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государственными и муниципальными (общественными) финансами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 Российской Федерации с применением информационных                              и телекоммуникационных технологий (далее – система «Электронный бюджет») с соблюдением требований о защите государственной тайны.</w:t>
      </w:r>
      <w:r/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дополнительное соглашение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расторжении соглашения </w:t>
      </w:r>
      <w:r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подписывается усиленными квалифицированными электронными подписями лиц, имеющих право действовать от имени каждой из сторон соглашения </w:t>
      </w:r>
      <w:r>
        <w:rPr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2.10. Соглашение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содержит условие </w:t>
      </w:r>
      <w:r>
        <w:rPr>
          <w:rFonts w:hAnsi="Times New Roman" w:cs="Times New Roman"/>
          <w:sz w:val="28"/>
          <w:szCs w:val="28"/>
        </w:rPr>
        <w:br/>
        <w:t xml:space="preserve">о согласовании новых условий соглашения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br/>
        <w:t xml:space="preserve">или о расторжении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при недостижении согласия по новым условиям в случае уменьшения Министерству ранее </w:t>
      </w:r>
      <w:r>
        <w:rPr>
          <w:rFonts w:hAnsi="Times New Roman" w:cs="Times New Roman"/>
          <w:sz w:val="28"/>
          <w:szCs w:val="28"/>
        </w:rPr>
        <w:t xml:space="preserve">доведенных лимитов бюджетных ассигнований, указанных в </w:t>
      </w:r>
      <w:hyperlink w:tooltip="#P72" w:anchor="P72" w:history="1">
        <w:r>
          <w:rPr>
            <w:rStyle w:val="922"/>
            <w:rFonts w:hAnsi="Times New Roman" w:cs="Times New Roman"/>
            <w:color w:val="auto"/>
            <w:sz w:val="28"/>
            <w:szCs w:val="28"/>
            <w:u w:val="none"/>
          </w:rPr>
          <w:t xml:space="preserve">пункте 1.4 раздела 1</w:t>
        </w:r>
      </w:hyperlink>
      <w:r>
        <w:rPr>
          <w:rFonts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соглашением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/>
    </w:p>
    <w:p>
      <w:pPr>
        <w:contextualSpacing/>
        <w:ind w:firstLine="709"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2.11. </w:t>
      </w:r>
      <w:r>
        <w:rPr>
          <w:rFonts w:hAnsi="Times New Roman" w:cs="Times New Roman"/>
          <w:sz w:val="28"/>
          <w:szCs w:val="28"/>
        </w:rPr>
        <w:t xml:space="preserve">Одновременно с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заключением соглашения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Министерство формирует </w:t>
      </w:r>
      <w:r>
        <w:rPr>
          <w:rFonts w:hAnsi="Times New Roman" w:cs="Times New Roman"/>
          <w:sz w:val="28"/>
          <w:szCs w:val="28"/>
        </w:rPr>
        <w:t xml:space="preserve">и утверждает план мероприятий, в котором утверждаются контрольные точки по результату предоставления су</w:t>
      </w:r>
      <w:r>
        <w:rPr>
          <w:rFonts w:hAnsi="Times New Roman" w:cs="Times New Roman"/>
          <w:sz w:val="28"/>
          <w:szCs w:val="28"/>
        </w:rPr>
        <w:t xml:space="preserve">бсидии, указанному в пункте 2.8 раздела 2 Порядка, плановые значения результата предоставления субсидии с указанием контрольных точек и плановых сроков их достижения. План мероприятий формируется с указанием не менее одной контрольной точки ежеквартально.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Министерство в течение 2 (двух) рабочих дней со дня подписания протокола подведения итогов отбора подготавливает в системе «Электронный бюджет» проект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и в течение 1 (одного) рабочего дня со дня формирования проекта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(получателю субсидии) уведомление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необходимости подписания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(получатель субсидии) в течение 1 (одного) рабочего дня со дня получения уведомления о необходимости подписания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соглашение в системе «Электронный бюджет».</w:t>
      </w:r>
      <w:r/>
    </w:p>
    <w:p>
      <w:pPr>
        <w:pStyle w:val="90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в течение 1 (одного) рабочего дня со дня подписания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отбора (получателем субсидии) подписывает его в системе «Электронный бюджет».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с лицевого счета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Министерства, открытого в министерстве финансов и бюджетной политики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на расчетные счета получателей субсидий, открытые </w:t>
      </w:r>
      <w:r>
        <w:rPr>
          <w:rFonts w:ascii="Times New Roman" w:hAnsi="Times New Roman" w:cs="Times New Roman"/>
          <w:sz w:val="28"/>
          <w:szCs w:val="28"/>
        </w:rPr>
        <w:br/>
        <w:t xml:space="preserve">ими в кредитных организациях Российской Федерации, в порядке, установленном министерством финансов и бюджетной политики Белгородской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2.14.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участнику отбора (получателю субсидии) единовременно не позднее 10-го рабочего дня, следующего за днем решения                 о предоставлении субсидии, принятого Министерством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комиссией,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в целях проведения отбора получателей субсидий (далее - комиссия)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принятия решения о ее создании в целях проведения отбора 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ab/>
        <w:t xml:space="preserve">2.15. </w:t>
      </w:r>
      <w:r>
        <w:rPr>
          <w:rFonts w:hAnsi="Times New Roman" w:cs="Times New Roman"/>
          <w:sz w:val="28"/>
          <w:szCs w:val="28"/>
        </w:rPr>
        <w:t xml:space="preserve">При реорганизации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получателя субсидии </w:t>
      </w:r>
      <w:r>
        <w:rPr>
          <w:rFonts w:hAnsi="Times New Roman" w:cs="Times New Roman"/>
          <w:sz w:val="28"/>
          <w:szCs w:val="28"/>
        </w:rPr>
        <w:t xml:space="preserve">в форме слияния, присоединения или преобразования в соглашение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вносятся изменения путем заключения дополнительного соглашения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hAnsi="Times New Roman" w:cs="Times New Roman"/>
          <w:color w:val="000000"/>
          <w:sz w:val="28"/>
          <w:shd w:val="clear" w:color="auto" w:fill="ffffff"/>
        </w:rPr>
        <w:br/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к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в части перемены лица в обязательстве с указанием в соглашении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юридического лица, </w:t>
      </w:r>
      <w:r>
        <w:rPr>
          <w:rFonts w:hAnsi="Times New Roman" w:cs="Times New Roman"/>
          <w:sz w:val="28"/>
          <w:szCs w:val="28"/>
        </w:rPr>
        <w:t xml:space="preserve">являющегося правопреемником.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/>
    </w:p>
    <w:p>
      <w:pPr>
        <w:ind w:firstLine="709"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При реорганизации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участника отбора (получателя субсидии)</w:t>
      </w:r>
      <w:r>
        <w:rPr>
          <w:rFonts w:hAnsi="Times New Roman" w:cs="Times New Roman"/>
          <w:sz w:val="28"/>
          <w:szCs w:val="28"/>
        </w:rPr>
        <w:t xml:space="preserve"> в форме разделения, выделения, а также при ликвидации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участника отбора (получателя субсидии)</w:t>
      </w:r>
      <w:r>
        <w:rPr>
          <w:rFonts w:hAnsi="Times New Roman" w:cs="Times New Roman"/>
          <w:sz w:val="28"/>
          <w:szCs w:val="28"/>
        </w:rPr>
        <w:t xml:space="preserve"> соглашение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расторгается </w:t>
      </w:r>
      <w:r>
        <w:rPr>
          <w:rFonts w:hAnsi="Times New Roman" w:cs="Times New Roman"/>
          <w:sz w:val="28"/>
          <w:szCs w:val="28"/>
        </w:rPr>
        <w:br/>
        <w:t xml:space="preserve">с формированием уведомления о расторжении соглашения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sz w:val="28"/>
          <w:szCs w:val="28"/>
        </w:rPr>
        <w:t xml:space="preserve"> в одностороннем порядке и акта об исполнении обязательств </w:t>
      </w:r>
      <w:r>
        <w:rPr>
          <w:rFonts w:hAnsi="Times New Roman" w:cs="Times New Roman"/>
          <w:sz w:val="28"/>
          <w:szCs w:val="28"/>
        </w:rPr>
        <w:br/>
        <w:t xml:space="preserve">по соглашению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 о предоставлении субсидии</w:t>
      </w:r>
      <w:r>
        <w:rPr>
          <w:rFonts w:hAnsi="Times New Roman" w:cs="Times New Roman"/>
          <w:sz w:val="28"/>
          <w:szCs w:val="28"/>
        </w:rPr>
        <w:t xml:space="preserve"> с отражением информации </w:t>
      </w:r>
      <w:r>
        <w:rPr>
          <w:rFonts w:hAnsi="Times New Roman" w:cs="Times New Roman"/>
          <w:sz w:val="28"/>
          <w:szCs w:val="28"/>
        </w:rPr>
        <w:br/>
        <w:t xml:space="preserve">о неисполненных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участником отбора (получателем субсидии)</w:t>
      </w:r>
      <w:r>
        <w:rPr>
          <w:rFonts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Белгородской области.</w:t>
      </w:r>
      <w:r>
        <w:rPr>
          <w:rFonts w:hAnsi="Times New Roman" w:cs="Times New Roman"/>
          <w:sz w:val="28"/>
          <w:szCs w:val="28"/>
        </w:rPr>
        <w:tab/>
      </w:r>
      <w:r/>
    </w:p>
    <w:p>
      <w:pPr>
        <w:ind w:firstLine="709"/>
        <w:jc w:val="both"/>
        <w:widowControl w:val="off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2.16. Получатель субсидии - юридическое лицо, состоящее из одного участника (акционера), являю</w:t>
      </w:r>
      <w:r>
        <w:rPr>
          <w:rFonts w:hAnsi="Times New Roman" w:cs="Times New Roman"/>
          <w:sz w:val="28"/>
          <w:szCs w:val="28"/>
        </w:rPr>
        <w:t xml:space="preserve">щегося в соответствии со сведениями, содержащимися в Едином государственном реестре юридических лиц, одновременно единственным лицом, обладающим полномочиями единоличного исполнительного органа юридического лица, и являющегося участником специальной военно</w:t>
      </w:r>
      <w:r>
        <w:rPr>
          <w:rFonts w:hAnsi="Times New Roman" w:cs="Times New Roman"/>
          <w:sz w:val="28"/>
          <w:szCs w:val="28"/>
        </w:rPr>
        <w:t xml:space="preserve">й операции в соответствии с подпунктом 1.1 пункта 1 постановления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</w:t>
      </w:r>
      <w:r>
        <w:rPr>
          <w:rFonts w:hAnsi="Times New Roman" w:cs="Times New Roman"/>
          <w:sz w:val="28"/>
          <w:szCs w:val="28"/>
        </w:rPr>
        <w:br/>
        <w:t xml:space="preserve">и чле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нов их семей», вправе подать заявление о приостановлении исполнения обязательств по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на срок, предусмотренный пунктом 2.17 раздела 2 Порядка.</w:t>
      </w:r>
      <w:r/>
    </w:p>
    <w:p>
      <w:pPr>
        <w:ind w:firstLine="709"/>
        <w:jc w:val="both"/>
        <w:widowControl w:val="off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2.17. Обязательства по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приостанавливаются на период участия </w:t>
      </w:r>
      <w:r>
        <w:rPr>
          <w:rFonts w:hAnsi="Times New Roman" w:eastAsia="Liberation Sans" w:cs="Times New Roman"/>
          <w:color w:val="000000" w:themeColor="text1"/>
          <w:sz w:val="28"/>
          <w:szCs w:val="28"/>
          <w:highlight w:val="white"/>
        </w:rPr>
        <w:t xml:space="preserve">единоличного исполнительного органа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получателя субсидии (участника (акционера) получателя субсидии), указанного в пункте 2.16 раздела 2 Порядка, в специальной военной операции путем заключения дополнительного соглашения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 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к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в системе «Электронный бюджет»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с условием приостановления исполнения обязательств по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br/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, а также продления срока исполнения обязательств по соглашению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после демобилизации (продления сроков достижения результата предоставления субсидии, выполнения условий предоставления субсидии и представления в Министерство отчетов, установленных разделом 7 Порядка).</w:t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/>
    </w:p>
    <w:p>
      <w:pPr>
        <w:ind w:firstLine="709"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2.18. Основания для отказа получателю субсидии в предоставлении субсидии:</w:t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0000" w:themeColor="text1"/>
          <w:sz w:val="28"/>
          <w:szCs w:val="28"/>
        </w:rPr>
        <w:tab/>
        <w:t xml:space="preserve">- несоответствие представленных получателем субсидии документов требованиям, определенным Порядком, или непре</w:t>
      </w:r>
      <w:r>
        <w:rPr>
          <w:rFonts w:hAnsi="Times New Roman" w:cs="Times New Roman"/>
          <w:sz w:val="28"/>
          <w:szCs w:val="28"/>
        </w:rPr>
        <w:t xml:space="preserve">дставление (представление  не в полном объеме) указанных документов;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/>
    </w:p>
    <w:p>
      <w:pPr>
        <w:ind w:firstLine="709"/>
        <w:jc w:val="both"/>
        <w:widowControl w:val="off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установление факта недостоверности представленной получателем субсидии информации.</w:t>
      </w:r>
      <w:r/>
    </w:p>
    <w:p>
      <w:pPr>
        <w:contextualSpacing/>
        <w:jc w:val="both"/>
        <w:widowControl w:val="off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</w:r>
      <w:r/>
    </w:p>
    <w:p>
      <w:pPr>
        <w:pStyle w:val="901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отбора </w:t>
      </w:r>
      <w:r/>
    </w:p>
    <w:p>
      <w:pPr>
        <w:pStyle w:val="90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Объявление о проведении отбора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едином портале предоставления мер финансовой государственной поддержки (далее - Единый портал) в системе «Электронный бюджет».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Взаимодействие Министерства, а также Комиссии с участником отбора осуществляется с использованием документов в электронной форме в системе «Электронный бюджет».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bookmarkStart w:id="2" w:name="P105"/>
      <w:r/>
      <w:bookmarkEnd w:id="2"/>
      <w:r/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Объявление о проведении отбора формируется Министерством в электронной форме посредством заполнения соответствующих экранных форм веб-интерфе</w:t>
      </w:r>
      <w:r>
        <w:rPr>
          <w:rFonts w:ascii="Times New Roman" w:hAnsi="Times New Roman" w:cs="Times New Roman"/>
          <w:sz w:val="28"/>
          <w:szCs w:val="28"/>
        </w:rPr>
        <w:t xml:space="preserve">йса 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подписывается усиленной квалифицированной электронной подписью министра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промышленности Белгородской области (далее - Министр) или уполномоченного им лица, публикуется на Едином портале в срок не позднее 5-го календарного дня до наступления даты начала приема заявок на участие в отборе и включает в себя следующую информацию: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способ проведения отбора, указанный 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1.7 раздела 1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сроков проведения отбора, а также информации о возможности проведения нескольких этапов отбора с указанием сроков и порядка их проведени</w:t>
      </w:r>
      <w:r>
        <w:rPr>
          <w:rFonts w:ascii="Times New Roman" w:hAnsi="Times New Roman" w:cs="Times New Roman"/>
          <w:sz w:val="28"/>
          <w:szCs w:val="28"/>
        </w:rPr>
        <w:t xml:space="preserve">я (при необходимости);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дата и время начала приема заявок, а также дата и время окончания приема заявок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наименование, адрес местонахождения, почтовый адрес, адрес электронной почты, контактный телефон Министерства;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д) наименование субсидии, результаты предоставления субсидии, определенные в соответствии  с 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нктом 2.8 раздела 2 Порядка;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требования к участникам отбора, предъявляемые в соответствии                        с пунктом 2.2 раздела 2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перечень документов, представляемых участниками отбора для подтверждения соответствия требованиям, указанный 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3.7 раздела 3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ж) порядок подачи заявок участниками отбора и требования, предъявляемые к содержанию заявок, подаваемых участниками отбора;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порядок внесения участниками отбора изменений в заявку, а также условия внесения изменений в заявку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пунктом 3.9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порядок возврата участникам отбора заявок на доработку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пунктом 3.10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к) порядок отзыва участниками отбора заявок, включающий в себя возможность отзыва заявок, а также условия отзыва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пунктом 3.9 раздела 3 Порядка;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порядок отклонения заявок, а также информация об основаниях                                 их отклонения;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м) порядок рассмотрения заявок на предмет их соответствия установленным в объявлении о проведении отбора требованиям, категориям                       и (или) критериям, сроки рассмотрения заявок, а также информация об участии или неучастии комисс</w:t>
      </w:r>
      <w:r>
        <w:rPr>
          <w:rFonts w:ascii="Times New Roman" w:hAnsi="Times New Roman" w:cs="Times New Roman"/>
          <w:sz w:val="28"/>
          <w:szCs w:val="28"/>
        </w:rPr>
        <w:t xml:space="preserve">ии в рассмотрении заявок;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н) объем распределяемой субсидии в рамках отбора, порядок расчета размера субсидии,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енный пунктом 2.5 раздела 2 Порядка, правила распределения субсидии по результатам отбора, которые могут включать максимальный (минимальный)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порядок предоставления участникам отбора разъяснений положений объявления о проведении отбора, установленный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пунктами 3.15 и 3.16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3 Порядка, даты начала и окончания срока такого предоставления;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срок, в течение которого победитель (победители) отбора должен (должны) подписать соглашение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р) условия признания победителя (победителей) отбора уклонившимися от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если победитель отбора не подписал соглашение в течение указанного в объявлении о проведении отбора количества рабочих дней со дня полу</w:t>
      </w:r>
      <w:bookmarkStart w:id="3" w:name="_GoBack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чения проекта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в системе «Электронный бюджет» и не направил возражения по проекту соглашения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Дата окончания приема заявок участников отбора не может быть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5-го календарного дня, следующего за днем размещения объявления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 проведении отбора;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с)</w:t>
      </w:r>
      <w:r>
        <w:rPr>
          <w:rFonts w:ascii="Times New Roman" w:hAnsi="Times New Roman" w:cs="Times New Roman"/>
          <w:sz w:val="28"/>
          <w:szCs w:val="28"/>
        </w:rPr>
        <w:t xml:space="preserve"> срок размещения протокола подведения итогов отбора на Едином портале, а также на официальном сайте Министерства в сети Интернет, который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т) </w:t>
      </w:r>
      <w:r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3.3. Внесение изменений в объявление о проведении отбора осуществляется в порядке, аналогичном порядку формирования объявления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о проведении отбора, установленному </w:t>
      </w:r>
      <w:hyperlink r:id="rId14" w:tooltip="https://login.consultant.ru/link/?req=doc&amp;base=LAW&amp;n=491830&amp;dst=38" w:history="1">
        <w:r>
          <w:rPr>
            <w:rFonts w:hAnsi="Times New Roman" w:cs="Times New Roman"/>
            <w:color w:val="000000" w:themeColor="text1"/>
            <w:sz w:val="28"/>
            <w:szCs w:val="28"/>
          </w:rPr>
          <w:t xml:space="preserve">пунктом 3.2</w:t>
        </w:r>
      </w:hyperlink>
      <w:r>
        <w:rPr>
          <w:rFonts w:hAnsi="Times New Roman" w:cs="Times New Roman"/>
          <w:color w:val="000000" w:themeColor="text1"/>
          <w:sz w:val="28"/>
          <w:szCs w:val="28"/>
        </w:rPr>
        <w:t xml:space="preserve"> настоящих Правил,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не позднее наступления даты окончания приема заявок участников отбора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 с соблюдением следующих условий: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а) 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не менее 3 календарных дней;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б) при внесении изменений в объявление о проведении отбора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не допускается изменение способа отбора;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в) в случае внесения изменений в объявление о проведении отбора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с </w:t>
      </w:r>
      <w:hyperlink r:id="rId15" w:tooltip="https://login.consultant.ru/link/?req=doc&amp;base=LAW&amp;n=491830&amp;dst=100121" w:history="1">
        <w:r>
          <w:rPr>
            <w:rFonts w:hAnsi="Times New Roman" w:cs="Times New Roman"/>
            <w:color w:val="000000" w:themeColor="text1"/>
            <w:sz w:val="28"/>
            <w:szCs w:val="28"/>
          </w:rPr>
          <w:t xml:space="preserve">3.9</w:t>
        </w:r>
      </w:hyperlink>
      <w:r>
        <w:rPr>
          <w:rFonts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г) участники отбора, подавшие заявку, уведомляются о внесении изменений в объявление о проведении отбора не позднее дня, следующего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за днем внесения изменений в объявление о проведении отбора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с использованием системы «Электронный бюджет»</w:t>
      </w:r>
      <w:r/>
    </w:p>
    <w:p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3.4. До размещения объявления о проведении отбора на едином портале  в целях проведения отбора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Министерство вправе принять реш</w:t>
      </w:r>
      <w:r>
        <w:rPr>
          <w:rFonts w:hAnsi="Times New Roman" w:cs="Times New Roman"/>
          <w:sz w:val="28"/>
          <w:szCs w:val="28"/>
        </w:rPr>
        <w:t xml:space="preserve">ение                                о соз</w:t>
      </w:r>
      <w:r>
        <w:rPr>
          <w:rFonts w:hAnsi="Times New Roman" w:cs="Times New Roman"/>
          <w:sz w:val="28"/>
          <w:szCs w:val="28"/>
          <w:highlight w:val="white"/>
        </w:rPr>
        <w:t xml:space="preserve">дании коллегиального органа (далее - комиссия).</w:t>
      </w:r>
      <w:r>
        <w:rPr>
          <w:rFonts w:hAnsi="Times New Roman" w:cs="Times New Roman"/>
          <w:sz w:val="28"/>
          <w:szCs w:val="28"/>
          <w:highlight w:val="white"/>
        </w:rPr>
        <w:tab/>
      </w:r>
      <w:r>
        <w:rPr>
          <w:rFonts w:hAnsi="Times New Roman" w:cs="Times New Roman"/>
          <w:sz w:val="28"/>
          <w:szCs w:val="28"/>
          <w:highlight w:val="white"/>
        </w:rPr>
        <w:tab/>
      </w:r>
      <w:r>
        <w:rPr>
          <w:rFonts w:hAnsi="Times New Roman" w:cs="Times New Roman"/>
          <w:sz w:val="28"/>
          <w:szCs w:val="28"/>
          <w:highlight w:val="white"/>
        </w:rPr>
        <w:tab/>
      </w:r>
      <w:r>
        <w:rPr>
          <w:rFonts w:hAnsi="Times New Roman" w:cs="Times New Roman"/>
          <w:sz w:val="28"/>
          <w:szCs w:val="28"/>
          <w:highlight w:val="white"/>
        </w:rPr>
        <w:tab/>
      </w:r>
      <w:r>
        <w:rPr>
          <w:rFonts w:hAnsi="Times New Roman" w:cs="Times New Roman"/>
          <w:sz w:val="28"/>
          <w:szCs w:val="28"/>
          <w:highlight w:val="white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3.5. Комиссия создается по решению Министерства, которое оформляется приказом Министерства.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Министерства утверждается положение о комиссии, содержащее информацию о председателе комиссии, персональном составе комиссии, порядке ее работы и информацию о полномочиях комиссии,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которым относятся:</w:t>
      </w:r>
      <w:r/>
    </w:p>
    <w:p>
      <w:pPr>
        <w:pStyle w:val="901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рассмотр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ение заявок участников отбора (единственной заявки),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принятие решения о признании отбора несостоявшимся;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- подписание протоколов, формируемых в процессе проведения отбора, содержащих информацию о принятых комиссией решениях;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- направление запроса участнику отбора с целью разъяснения                                 в отношении представленных им документов и информации;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- единоличное подписание председателем комиссии протоколов,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формируемых в процессе проведения отбора;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иные полномочия, не противоречащие законодательству Российской Федерации. Заявки подаются в соответствии с требованиями и в сроки, указанные в объявлении о проведении отбора.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Заявки формируются участниками отбора в электронной форме посредством заполнения соответствующих экранных форм веб-интерфейса системы «Электронны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бюджет» и добавления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3.7. Участник отбора представляет в Министерство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заявку.</w:t>
        </w:r>
      </w:hyperlink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заявке прилагаются следующие сведения и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документы участника отбора, содержащие: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полное и сокращенное наименование участника отбора;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 идентификационный номер налогоплательщика, главного бухгалтера (при наличии), фамилии, имена, отчества (при наличии) учредителей (за исключением сельскохозя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йственных кооперативов, созданных в соответствии с Федеральным </w:t>
      </w:r>
      <w:hyperlink r:id="rId16" w:tooltip="https://login.consultant.ru/link/?req=doc&amp;base=LAW&amp;n=45409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законом от 08 декабря 1995 года № 193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сельскохозяйственной кооперации»), членов коллегиального исполнительного органа, лица, исполняющего функции единоличного исполнительного органа;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 о руководителе юридического лица (фамилия, имя, отчество (при наличии), 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, должность)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основной государственный регистрационный номер участника отбора;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идентификационный номер налогоплательщика;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дата и код причины постановки на учет в налоговом органе;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ab/>
        <w:t xml:space="preserve"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                              на подписание соглашения </w:t>
      </w:r>
      <w:r>
        <w:rPr>
          <w:rFonts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hAnsi="Times New Roman" w:cs="Times New Roman"/>
          <w:color w:val="000000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бизнес-план НИП, подписанный </w:t>
      </w:r>
      <w:r>
        <w:rPr>
          <w:rFonts w:hAnsi="Times New Roman" w:cs="Times New Roman"/>
          <w:color w:val="000000"/>
          <w:sz w:val="28"/>
          <w:szCs w:val="28"/>
        </w:rPr>
        <w:t xml:space="preserve">участником отбора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с приложением заключения экспертной организации или специализированной организации по привлечению инвестиций и работе с инвесторами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на территории Белгородской области о полноте и достоверности информации, представленной в бизнес-плане и включающий следующие разделы: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1) резюме проекта;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2) инициаторы проекта;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3) описание проекта;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4) основные заказчики продукции и партнер;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5) маркетинг и прогноз продаж;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6) организационный план;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7) операционный план (производственный план);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8) финансовый план;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9) анализ рисков.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- пояснительную записку к бизнес-плану НИП с указанием значений показателей и их расчетом: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1) общая стоимость НИП, млн рублей;</w:t>
      </w:r>
      <w:r/>
    </w:p>
    <w:p>
      <w:pPr>
        <w:ind w:firstLine="72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2) количество создаваемых рабочих мест при реализации НИП, чел.</w:t>
      </w:r>
      <w:r/>
    </w:p>
    <w:p>
      <w:pPr>
        <w:ind w:firstLine="72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3) объем планируемых к зачислению до 31 декабря 2032 года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в бюджет Белгородской области налоговых доходов от реализации НИП,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млн рублей;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объем планируемых к зачислению до 31 декабря 2032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федеральный бюджет налоговых доходов от реализации НИП, млн рублей;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лан реализации НИП,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№ 2 к Порядку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в) перечень объектов инфраструктуры, с приложением копий заключенных договоров на технологическое присоединение к сетям инженерно-технического обеспечения, договоров подряда на строительство,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и (или) модернизацию, и (или) реконструкцию объектов инфраструктуры, договоров на оплату услуг по проведению проектно-изыскательских работ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и работ по разработке проектно-сметной документации, необходимой </w:t>
      </w:r>
      <w:r>
        <w:rPr>
          <w:rFonts w:hAnsi="Times New Roman" w:cs="Times New Roman"/>
          <w:color w:val="000000" w:themeColor="text1"/>
          <w:sz w:val="28"/>
          <w:szCs w:val="28"/>
        </w:rPr>
        <w:br/>
        <w:t xml:space="preserve">для создания объектов инфраструктуры;</w:t>
      </w:r>
      <w:r/>
    </w:p>
    <w:p>
      <w:pPr>
        <w:ind w:firstLine="720"/>
        <w:jc w:val="both"/>
        <w:rPr>
          <w:rFonts w:hAnsi="Times New Roman" w:cs="Times New Roman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г) картографические материалы, отражающие относительное размещение НИП и объектов инфраструктуры (план-схема размещения НИП и созданной инфраструктуры, точек подключения, инженерных коридоров и т.д.);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 xml:space="preserve">д) согласие на публикацию (размещение) в сети Интернет информации    об участнике отбора, о подаваемой участни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ком отбора заявке, а также иной информации об участнике отбора, связанной  с соответствующим отбором        и результатом предоставления субсидии, подаваемое посредством заполнения соответствующих экранных форм веб-интерфейса системы «Электронный бюджет»; </w:t>
      </w:r>
      <w:r>
        <w:rPr>
          <w:rFonts w:hAnsi="Times New Roman" w:cs="Times New Roman"/>
          <w:color w:val="000000" w:themeColor="text1"/>
          <w:sz w:val="28"/>
          <w:szCs w:val="28"/>
        </w:rPr>
        <w:tab/>
      </w:r>
      <w:r>
        <w:rPr>
          <w:rFonts w:hAnsi="Times New Roman" w:cs="Times New Roman"/>
          <w:color w:val="00b0f0"/>
          <w:sz w:val="28"/>
          <w:szCs w:val="28"/>
        </w:rPr>
        <w:tab/>
      </w:r>
      <w:r>
        <w:rPr>
          <w:rFonts w:hAnsi="Times New Roman" w:cs="Times New Roman"/>
          <w:color w:val="00b0f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е) предлагаемые участником отбора значение результата предоставления субсидии, указанного в </w:t>
      </w:r>
      <w:hyperlink w:tooltip="#P146" w:anchor="P146" w:history="1">
        <w:r>
          <w:rPr>
            <w:rFonts w:hAnsi="Times New Roman" w:cs="Times New Roman"/>
            <w:color w:val="000000"/>
            <w:sz w:val="28"/>
            <w:szCs w:val="28"/>
          </w:rPr>
          <w:t xml:space="preserve">подпункте «д» пункта 3.2</w:t>
        </w:r>
      </w:hyperlink>
      <w:r>
        <w:rPr>
          <w:rFonts w:hAnsi="Times New Roman" w:cs="Times New Roman"/>
          <w:color w:val="000000"/>
          <w:sz w:val="28"/>
          <w:szCs w:val="28"/>
        </w:rPr>
        <w:t xml:space="preserve"> раздела 3</w:t>
      </w:r>
      <w:r>
        <w:rPr>
          <w:rFonts w:hAnsi="Times New Roman" w:cs="Times New Roman"/>
          <w:color w:val="000000"/>
          <w:sz w:val="28"/>
          <w:szCs w:val="28"/>
        </w:rPr>
        <w:t xml:space="preserve"> Порядка, значение запрашиваемого участником отбора размера субсидии, который не может быть выше (ниже) максимального (минимального) размера, установленного                                                в объявлении о проведении отбора (если установлено);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выписки из Единого государственного реестра юридических лиц                       на дату не позднее даты окончания отбора, заверенная участником отбора                                и скреплен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печатью.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участником отбора выписки из Единого государственного реес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 юридических лиц сведения из Единого государственного реестра юридических лиц могут быть получены Министерством с использованием сервиса Федеральной налоговой службы                            «Предоставление сведений из ЕГРЮЛ/ЕГРИП в электронном виде»;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выписка из реестра акционеров или иной документ, подтверждающий состав акционеров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(для акционерных обществ);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федерального органа исполнительной власти, осуществляющего функции по контролю и надзору за соблюдением законодательства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состоянию на период проверки заявки,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запрашивается Министерством с использованием сервиса Федеральной налоговой службы;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к) копия зарегистрированного в налоговом органе согласия участника отбора – налогоплательщика (плательщика страховых взносов) на признание сведений, составляющих налоговую тайну, общедоступными по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форме                        КНД 1110058 «Согласие налогоплательщика (плательщика страховых взносов)                                   на признани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 сведений, составляющих налоговую тайну, общедоступными». Период, за который сведения, составляющие налоговую тайну, признаются общедоступными, должен быть не позднее даты начала реализации НИП                                      по 31 декабря 2032 года;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л) р</w:t>
      </w:r>
      <w:hyperlink w:history="1"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еестр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фактически понесенных участником отбора затрат (без НДС)                                         на создание объектов инфраструктуры, необходимых для реализации НИП,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 форме согласно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приложению № 4 к Порядку;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м) расчет размера возмещения суммы фактически понесенных участником отбора затрат (без НДС) на создание объектов инфраструктуры, необходимых для реализации НИП, по форме согласно приложению № 5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к Порядку;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н) о</w:t>
      </w:r>
      <w:hyperlink w:history="1"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бязательство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исполнении прогнозных значений объема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инвестиций, количества новых рабочих мест, сумм налогов, подлежащих зачислению в областной и местный бюджеты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НИП, в соответствии с заявкой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согласно приложению № 3 к Порядку;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о) о</w:t>
      </w:r>
      <w:hyperlink w:history="1"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бязательство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представлении участником отбора документов                             и сведений, необходимых для проведения Федеральным казначейством проверочных мероприятий осуществления финанс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ово-хозяйственной деятельности такого участника отбора в целях подтверждения достоверности суммы доходов от реализации НИП, используемых для расчета поступления налоговых доходов от реализации НИП, по форме согласно приложению № 6                к Порядку;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п) справка, подтверждающая, что на дату рассмотрения заявки                               у участника отбора отсутствует просроченная задолженность по возврату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областной бюджет субсидий, бюджетных инвес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тиций, предоставленных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бюджетом, по форме согла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сно приложению № 7 к Порядку;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р) копию(-и) разрешения на ввод объектов инфраструктуры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в эксплуатацию в случае, предусмотренном законодательством Российской Федерации;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с) копию(-и) акта(-ов) по типовой межотраслевой </w:t>
      </w:r>
      <w:hyperlink r:id="rId17" w:tooltip="https://login.consultant.ru/link/?req=doc&amp;base=RZR&amp;n=41168&amp;dst=103308" w:history="1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форме КС-11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«Акт приемки законченного строительством объекта», утвержденную постановлением Госкомстата России от 30 октября 1997 г. № 71а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(далее - КС-11) (при необходимости);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т) копии документов, подтверждающих затраты участника отбора на создание объектов инфраструктуры (копии договоров на выполнение работ и услуг с юридическими лицами и (или) индивидуальным(-и) предпринимателем(-ями), указанными в </w:t>
      </w:r>
      <w:hyperlink r:id="rId18" w:tooltip="https://login.consultant.ru/link/?req=doc&amp;base=RZR&amp;n=41168&amp;dst=103308" w:history="1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КС-11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 необходимости);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у) копии платежных документов с отметкой кредитных организаций, подтверждающих оплату по договорам;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ф) копию положительного заключения государственной экспертизы проектной документации объекта, выданного уполномоченным на проведение государственной экспертизы проектной документации и 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результатов инженерных изысканий исполнительным органом субъекта Российской Федерации или подведомственным этому органу государственным учреждением по месту расположения земельного участка, или копию письма соответствующего органа, уполномоченного на пров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едение государственной экспертизы проектной документации и (или) результатов инженерных изысканий в субъекте Российской Федерации, об отсутствии необходимости проведения обязательной государственной экспертизы проектной документации по конкретному объекту;</w:t>
      </w:r>
      <w:r/>
    </w:p>
    <w:p>
      <w:pPr>
        <w:pStyle w:val="91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х) дополнительно к заявке на участие в отборе для возмещения затрат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технологическое присоединение к сетям инженерно-технического обеспечения объектов инфраструктуры участник отбора предоставляет следующие документы: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копия договора об осуществлении технологического присоединения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приложением технических условий, подтверждающего затраты заявителя;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копии платежных поручений и выписок из расчетных счетов участника отбора, подтверждающих затраты заявителя, в соответствии с договором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об осуществлении технологического присоединения;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копия акта о выполнении технических условий (при наличии);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копия акта об осуществлении технологического присоединения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(при наличии);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ц) дополнительно к заявке на участие в отборе для возмещения затрат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оплату услуг по проведению проектно-изыскательских работ и работ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 разработке проектной документации для создания объектов инфраструктуры участник отбора предоставляет следующие документы:</w:t>
      </w:r>
      <w:r/>
    </w:p>
    <w:p>
      <w:pPr>
        <w:pStyle w:val="91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копии договора об оказании услуг по проведению проектно-изыскательских работ, договора на проведение работ по разработке проектной документации в соответствии с техническим заданием заказчика;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копии технического задания на выполнение проектно-изыскательских работ, задания на проектирование;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копии документов, подтверждающих оплату по договору об оказании услуг по проведению проектно-изыскательских работ, договору на проведение работ по разработке проектной документации, заверенные кредитной организацией;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копии результата проектно-изыскательских работ (технические отчеты) проектной документации;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копия догово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 о проведении государственной экспертизы проектной документации и результатов инженерных изысканий (в случае если проектная документация объектов инфраструктуры подлежит государственной экспертизе в соответствии с законодательством Российской Федерации);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копии документов, подтверждающих оплату проведения государственной экспертизы проектной документации и результатов инженерных изысканий (в случае если проектная документация объектов инфраструктуры подлежит государственной экспертизе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законодательством Российской Федерации).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 несет ответственность за достоверность представляемых документов и сведений.</w:t>
      </w:r>
      <w:r/>
    </w:p>
    <w:p>
      <w:pPr>
        <w:pStyle w:val="91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В случае если отсутствует техническая возможность представления документов, указанных в подпунктах «а)»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«ц)» настоящего пункта в системе «Электронный бюджет», документы направляется в Министерство                                     на бумажном носителе.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Документы должны быть прошиты, пронумерованы, заверены подписью руководителя (уполномоченного представителя) участника отбора и скреплены печатью (при наличии). Регистрация документов осуществляется Министерством в </w:t>
      </w:r>
      <w:hyperlink w:tooltip="Журнал" w:anchor="P460" w:history="1">
        <w:r>
          <w:rPr>
            <w:rStyle w:val="876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 xml:space="preserve">журнале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регистрации по форме согласно приложению № 7                к Порядку в порядке очередности в зависимости от даты и времени                              их поступления.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3.8. Для участия в отборе участник отбора вправе подать одну заявку.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 Участник отбора вправе отозвать заявку не позднее даты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времени, определенных для подачи заявок.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3.6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 Порядка.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вправе после отзыва заявки повторно подать заявку.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даты и (или) времени, определенных для подачи заявок, заявка изменению и возврату не подлежит.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 Возврат Министерством заявки на доработку не осуществляется.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3.11.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  <w:t xml:space="preserve">3.12. Ответственнос</w:t>
      </w:r>
      <w:r>
        <w:rPr>
          <w:rFonts w:hAnsi="Times New Roman" w:cs="Times New Roman"/>
          <w:color w:val="000000"/>
          <w:sz w:val="28"/>
          <w:szCs w:val="28"/>
        </w:rPr>
        <w:t xml:space="preserve">ть за полноту и достоверность информации                            и документов, содержащихся в заявке, а также за своевременность                              их представления несет участник отбора в соответствии с законодательством Российской Федерации.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</w:t>
      </w:r>
      <w:r>
        <w:rPr>
          <w:rFonts w:hAnsi="Times New Roman" w:cs="Times New Roman"/>
          <w:color w:val="000000"/>
          <w:sz w:val="28"/>
          <w:szCs w:val="28"/>
        </w:rPr>
        <w:t xml:space="preserve">.13.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</w:t>
      </w:r>
      <w:r>
        <w:rPr>
          <w:rFonts w:hAnsi="Times New Roman" w:cs="Times New Roman"/>
          <w:color w:val="000000"/>
          <w:sz w:val="28"/>
          <w:szCs w:val="28"/>
        </w:rPr>
        <w:t xml:space="preserve">ции,                           и не должны быть зашифрованы или защищены средствами, не позволяющими осуществить ознакомление с их содержимым без специальных программных                                                          или технологических средств. 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  <w:t xml:space="preserve">Фотоматериалы, включаемые в заявку, должны содержать четкое                    и контрастное изображение высокого качества.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  <w:t xml:space="preserve">3.14. </w:t>
      </w:r>
      <w:r>
        <w:rPr>
          <w:rFonts w:hAnsi="Times New Roman" w:cs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3.15. Любой участник отбора со дня размещения объявления                             о проведении отбора на едином портале </w:t>
      </w:r>
      <w:r>
        <w:rPr>
          <w:rFonts w:hAnsi="Times New Roman" w:cs="Times New Roman"/>
          <w:sz w:val="28"/>
          <w:szCs w:val="28"/>
        </w:rPr>
        <w:t xml:space="preserve">не позднее 3-го рабочего дня до дня окончания срока подачи заявок вправе направить Министерству не более          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  <w:t xml:space="preserve">3.16. Министерство в ответ на запрос, указанный в пункте 3.15 раздела </w:t>
      </w:r>
      <w:r>
        <w:rPr>
          <w:rFonts w:hAnsi="Times New Roman" w:cs="Times New Roman"/>
          <w:sz w:val="28"/>
          <w:szCs w:val="28"/>
        </w:rPr>
        <w:br/>
        <w:t xml:space="preserve">3 Порядка, направляет разъяснение положений объявления о проведении отбора  в срок, установленный указанным объявлением, но не позднее </w:t>
      </w:r>
      <w:r>
        <w:rPr>
          <w:rFonts w:hAnsi="Times New Roman" w:cs="Times New Roman"/>
          <w:sz w:val="28"/>
          <w:szCs w:val="28"/>
        </w:rPr>
        <w:br/>
        <w:t xml:space="preserve">1 (одного) рабочего дня до дня завершения подачи заявок, путем формирования в системе «Электронный бюджет» соответствующего разъяснения. 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Представленное Министерством разъяснение положений объявления </w:t>
      </w:r>
      <w:r>
        <w:rPr>
          <w:rFonts w:hAnsi="Times New Roman" w:cs="Times New Roman"/>
          <w:color w:val="000000"/>
          <w:sz w:val="28"/>
          <w:szCs w:val="28"/>
        </w:rPr>
        <w:t xml:space="preserve">                 о проведении отбора не должно изменять суть информации, содержащейся                    в указанном объявлении.</w:t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>
        <w:rPr>
          <w:rFonts w:hAnsi="Times New Roman" w:cs="Times New Roman"/>
          <w:color w:val="000000"/>
          <w:sz w:val="28"/>
          <w:szCs w:val="28"/>
        </w:rPr>
        <w:tab/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Доступ к разъяснению, формируемому в системе «Электронный бюджет» в соответствии с  первым абзацем настоящего пункта, предоставляется всем участникам отбора.</w:t>
      </w:r>
      <w:r/>
    </w:p>
    <w:p>
      <w:pPr>
        <w:pStyle w:val="921"/>
        <w:ind w:firstLine="709"/>
        <w:jc w:val="both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</w:r>
      <w:r/>
    </w:p>
    <w:p>
      <w:pPr>
        <w:pStyle w:val="921"/>
        <w:ind w:firstLine="709"/>
        <w:jc w:val="center"/>
        <w:spacing w:before="0" w:beforeAutospacing="0" w:after="0" w:afterAutospacing="0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4.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 xml:space="preserve">Порядок отмены проведения отбора</w:t>
      </w:r>
      <w:r/>
    </w:p>
    <w:p>
      <w:pPr>
        <w:pStyle w:val="921"/>
        <w:ind w:firstLine="709"/>
        <w:jc w:val="center"/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</w:r>
      <w:r/>
    </w:p>
    <w:p>
      <w:pPr>
        <w:pStyle w:val="9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Размещение Министерством объявления об отмене проведения отбора на едином портале допускается не позднее чем  за 1 (один)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Объявление об отмене проведения отбора формируется                        в электронной форме посредством заполнения соответствующих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                               о причинах отмены отбора.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Основаниями для отмены отбора являются: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изменения объема лимитов бюджетных обязательств, доведенных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Министерства на цели, указанные в </w:t>
      </w:r>
      <w:hyperlink w:tooltip="1.1. Порядок предоставления субсидий из областного бюджета субъектам малого и среднего предпринимательства области в рамках мероприятия &quot;Субсидирование части затрат субъектов малого и среднего предпринимательства на транспортировку продукции для организации эк" w:anchor="P50" w:history="1">
        <w:r>
          <w:rPr>
            <w:rStyle w:val="87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пункте 1.3 раздела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необходимость изменения условий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4.4. 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4.5.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4.6. После окончания срока отмены проведения отбора в соответствии                         с </w:t>
      </w:r>
      <w:hyperlink w:tooltip="#P179" w:anchor="P17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4.1.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4 Порядка до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(победителями) отбора Министерство может отменить отбор только в случае возникновения обстоятельств непреодолимой силы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</w:t>
      </w:r>
      <w:hyperlink r:id="rId19" w:tooltip="https://login.consultant.ru/link/?req=doc&amp;base=LAW&amp;n=452991&amp;dst=10192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 статьи 401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Федерации.</w:t>
      </w:r>
      <w:r/>
    </w:p>
    <w:p>
      <w:pPr>
        <w:pStyle w:val="917"/>
        <w:shd w:val="clear" w:color="auto" w:fill="ffff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Порядок рассмотрения заявок, а также</w:t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определения победителей отбора</w:t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Не позднее 1 (одного) рабочего дня, следующего за днем окончания срока подачи заявок, установленного в объявлении о проведении отбора,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системе «Электронный бюджет» открывается доступ Министерству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 случае принятия решения, указанного в пункте 3.4 раздела 3 Порядка, комиссии к поданным участниками отбора заявкам для их рассмотрения.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Министр экономического развития и промышленности Белгородской области или председатель комиссии, в случае принятия решения                                  о ее создании в целях проведения отбора 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раздела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не позднее 1 (одного) рабочего дня, следующего за днем получения доступа к заявкам,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регистрационный номер заявки;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дата и время поступления заявки;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полное наименование участника отбора;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запрашиваемый участником отбора размер субсидии.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5.3. Протокол вскрытия заявок формируется на едином портале автоматически и подписывается усиленной квалифицированной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подписью министра экономического развития и промышленности Белгородской области или председателя комиссии, в случае принятия решения о ее создании в целях проведения отбора 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 раздела 3 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5.4. Заявка признается надлежащей, если она соответствует требованиям, указанным в объявлении о проведении отбора, и при отсутствии оснований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отклонения заявки.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соответствии заявки и участника отбора требованиям, указанным в объявлении о проведении отбора , принимаются Министерством или комиссией в случае принятия решения о ее создании в целях проведения отбора в соответствии с </w:t>
      </w:r>
      <w:hyperlink w:tooltip="#P109" w:anchor="P10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Порядка единожды на даты получения результатов проверки представленных участником отбора информации и документов, поданных в составе заявки, по результатам: 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автоматической проверки, осуществляемой в соответствии с </w:t>
      </w:r>
      <w:hyperlink w:tooltip="#P180" w:anchor="P18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 xml:space="preserve">2.4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Порядка;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проверки представленных участником отбора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документов, подтверждающих его соответствие требованиям, указанным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2.2 раздела 2 Порядка, на предмет соответствия указанных информации и документов установленным в объявлении о проведении отбора  требованиям и достоверности таких информации и документов.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Заявка отклоняется в случае наличия оснований для отклонения заявки, предусмотренных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5.6 раздела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5.6. На стадии рассмотрения заявки основаниями для отклонения заявки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 несоответствие участника отбора требованиям,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 раздела 2 Порядка и в объявлении о проведении отбора;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непредставление (представление не в полном объеме) документов, указанных в объявлении о проведении отбора;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 несоответствие представленных участником отбора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(или) документов требованиям, установленным в объявлении о проведении отбора;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 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 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5.7. Участники отбора, в отношении которых Министерством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комиссией, в случае принятия решения о ее создании в целях проведения отбора 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 </w:t>
        </w:r>
        <w:r>
          <w:rPr>
            <w:rFonts w:ascii="Times New Roman" w:hAnsi="Times New Roman" w:cs="Times New Roman"/>
            <w:sz w:val="28"/>
            <w:szCs w:val="28"/>
          </w:rPr>
          <w:t xml:space="preserve">раздела 3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принято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отклонении заявки в соответствии с </w:t>
      </w:r>
      <w:hyperlink w:tooltip="2.14. Основаниями для отклонения заявки на участие в отборе являются:" w:anchor="P1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5.6 раздела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в случае устранения замечаний, послуживших основанием для ее отклонения, вправе повторно подать заявку в рамках проведения дополнительного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текущем финансовом году (в случае его проведения).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Срок рассмотрения заявок Министерством или комиссией,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о ее создании в целях проведения отбора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 раздела 3 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составляет не более 10 (десяти) рабочих дней с даты подписания протокола о получении доступа к заявкам.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5.9. По результатам рассмотрения заявок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               и рассмотренных заявок, а также информацию по каждому участнику отбора,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признании его заявки действительной или об отклонении его заявки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указанием оснований для отклонения.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5.10. Протокол рассмотрения заявок формируется на едином портале автоматически на основании результатов рассмотрения заявок                                     и подпис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ывается усиленной квалифицированной электронной подписью руководителя Министерства или председателя комиссии (председателя комиссии и членов комиссии), в случае принятия решения о ее создании                      в целях проведения отбора 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 раздела 3 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системе «Электронный бюджет», а также размещается на едином портале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позднее рабочего дня, следующего за днем его подписания.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В случае если в целях полного, всестороннего и объективного рассмотрения или рассмотрения и оценки заявок необходимо получение информации и документов от участника отбора для разъяснений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от участников отбора разъяснений                                 по запросу Министерства время рассмотрения заявок продлевается на срок, установленный пунктом 5.13 раздела 5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5.12. В запросе, указанном 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5.11 раздела 5 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Министерством устанавливается срок представления участником отбора разъяснений в отношении раннее заявленных им документов и информации, который составляет 3 (три) рабочих дня со дня, следующего за днем размещения соответствующего запроса.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5.13. Участник отбора формирует и представляет в системе «Электронный бюджет» информацию и документы, запрашиваемые в соответствии с </w:t>
      </w:r>
      <w:hyperlink w:history="1"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пунктом 5.1</w:t>
        </w:r>
      </w:hyperlink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раздела 5 Порядка, в сроки, установленные соответствующим запросом           с учетом положений </w:t>
      </w:r>
      <w:hyperlink w:history="1"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пункта 5.12 </w:t>
        </w:r>
      </w:hyperlink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раздела 5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5.14. В случае если участник отбора в ответ на запрос, указанный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5.1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1 раздела 5 Порядка, не представил запрашиваемые документы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информацию в срок, установленный соответствующим запросом с учетом положений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5.13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5 Порядка, информация об этом включается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протокол подведения итогов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5.15. Отбор признается несостоявшимся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по окончании срока подачи заявок подана только одна заявка;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по результатам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по окончании срока подачи заявок не подано ни одной заявки;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г) по результатам рассмотрения заявок отклонены все заявки.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5.16. Соглашение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с участником отбора,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  в объявлении о проведении отбора;.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5.17. Ранжирование поступивших заявок осуществляется исходя                            из соответствия участников отбора категориям и (или) критериям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очередности их поступления.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5.18. Победителями отбора признаются участники отбора, включенные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рейтинг, сформи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 о проведении отбора (в случае его установления), и в пределах объема распределяемой субсидии,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объявлении о проведении отбора.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5.19. В целях завершения отбора и определения победителей  формируется протокол подведения итогов отбора, включающий информацию                                                 о победителях отбора с указанием размера предоставляемой им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отклонении заявок с указанием оснований для их отклонения.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5.20. При указании в протоколе подведения итогов отбора размера субсидии, предусмотренного для предоставления участнику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5.19 раздела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в случае несоответствия запрашиваемого им размера субсидии порядку расчета размера субсидии, установленному решением о порядке предоставления субсидии, Министерство или комиссия могут скорректировать размер субсидии, предусмотренный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предоставления такому участнику отбора, но не выше размера, указанного им в заявке.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5.21. Субсидия, распределяемая в рамках отбора, распределяется между участниками отбора, включенными в рейтинг, указанный в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5.18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раздела 5 Порядка следующим способом: участнику отбора, которому присвоен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ервый порядковый номер в рейтинге, распределяется размер субсидии, равный значению размера, указанному им в заявке, но не выше максимального размера субсидии, определенного объявлением о проведении отбора (при установлении максимального  размера субсидии).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субсидия, предоставляемая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Каждому следующему участнику отбора, включенному в рейтинг, субсидия предоставляется в размере, равному размеру, указанному им в заявке, но не выше максимального размера субсидии, определенного объявлением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проведении отбора (при установлении максимального размера субсидии),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случае если указанный им размер меньше нераспределенного размера субсидии либо равен ему.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если размер субсидии, указанный участником отбора в заявке,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 нераспределенного размера субсидии, такому участнику отбора при его согласии распределяет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весь оставшийся нераспределенный размер субсидии,                                         но не выше максимального размера субсидии, определенного объявлением                        о проведении отбора (при установлении максимального размера субсидии),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 изменения указанного участником отбора в заявке значения результата предоставления субсидии.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5.22. Протокол подведения итогов отбора формируется на едином портале автоматически на основании результатов отбора и подписывается усиленной квалифицированной электронной подписью министра экономического развития и промышленности Белгородской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или председателя комиссии (председателя комиссии и членов комиссии),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случае принятия решения о ее создании в целях проведения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</w:t>
      </w:r>
      <w:hyperlink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3.4 раздела 3 Порядка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системе «Электронный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бюджет», а также размещается на едином портале не позднее рабочего дня, следующего за днем его подписания.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</w:t>
      </w:r>
      <w:bookmarkStart w:id="4" w:name="P420"/>
      <w:r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изменений в протокол рассмотрения заявок и протокол подведения итогов отбора получателей субсидий осуществляется не позднее 10 календарных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порядке, аналогичном порядку их формирования, установленному соответственно </w:t>
      </w:r>
      <w:hyperlink w:tooltip="#P342" w:anchor="P3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5.9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5.10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hyperlink w:tooltip="#P420" w:anchor="P4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5.22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5 Порядка, с указанием причин внесения таких изменений.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Порядок взаимодействия Министерства с победителем (победителями) отбора по результатам его проведения</w:t>
      </w:r>
      <w:r/>
    </w:p>
    <w:p>
      <w:pPr>
        <w:pStyle w:val="91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По результатам отбора с победителем (победителями) отбора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порядке, предусмотренном пунктом 2.9 раздела 2 Порядка,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соглашение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целях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(победителями) отбора в системе «Электронный бюджет» уточняется информация о счетах для перечисления субсидии, а также о лице, уполномоченном на подписание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соглашением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участник отбора (получатель субсидии)</w:t>
      </w:r>
      <w:r>
        <w:rPr>
          <w:rFonts w:ascii="Times New Roman" w:hAnsi="Times New Roman" w:cs="Times New Roman"/>
          <w:sz w:val="28"/>
          <w:szCs w:val="28"/>
        </w:rPr>
        <w:tab/>
        <w:t xml:space="preserve">дает согласие на осуществление Министерством проверки собл</w:t>
      </w:r>
      <w:r>
        <w:rPr>
          <w:rFonts w:ascii="Times New Roman" w:hAnsi="Times New Roman" w:cs="Times New Roman"/>
          <w:sz w:val="28"/>
          <w:szCs w:val="28"/>
        </w:rPr>
        <w:t xml:space="preserve">юдения участником отбора (получателем субсидии)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</w:t>
      </w:r>
      <w:r>
        <w:rPr>
          <w:rFonts w:ascii="Times New Roman" w:hAnsi="Times New Roman" w:cs="Times New Roman"/>
          <w:sz w:val="28"/>
          <w:szCs w:val="28"/>
        </w:rPr>
        <w:br/>
        <w:t xml:space="preserve">и 269.2 Бюджетного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6.4. Министерство отказывает в заключении соглашения                                  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победителю отбора в случае обнаружения факта несоответствия победителя требованиям, указанным в объявлении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проведении отбора, или представления победителем отбора недостоверной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В случае отказа Министерством в заключении соглашения                               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отбора по основаниям, предусмотренным </w:t>
      </w:r>
      <w:hyperlink w:tooltip="#P325" w:anchor="P32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6.4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6 Порядка, отказа победителя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неподписания победителем отбора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срок, предусмотренный </w:t>
      </w:r>
      <w:hyperlink w:tooltip="#P166" w:anchor="P16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р) пункта 3.2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3 Порядка, Министерство направляет иным участникам отбора, признанным победителями отбора, заявки которых в части запрашиваемого размера субсидии не были удовлетворены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полном объеме, предложение об увеличении размера субсидии и результатов ее предоставления или заключает соглашение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участником отбора, заявка которого имеет следующий номер в порядке убывания в рейтинге.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 случаях наличия по результатам проведения отбора остатка лимитов бюджетных обязательств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расторжения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с получателем субсидии Министерство может принять решение о проведении дополнительного отбора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положениями настоящего Порядка, предусмотренными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проведения отбора.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В случаях увеличения Министерству лимитов бюджетных обязательств на предоставление субсидии в пределах текущего финансового года, отказа победителя отбора от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расторжения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с получателем субсидии и наличия участников отбора, прошедших отбор и не признанных победител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отбора по причине недостаточности лимитов бюджетных обязательств на предоставление субсидии или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повторного проведения отбора с учетом присвоенного ранее номера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рейтинге.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Решения Министерства о проведении дополнительного отбора                       и распределении субсидии без повторного проведения отбора с учетом присвоенного ранее номера в рейтинге, указанные в пунктах 6.6 и 6.7 раздела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6 Порядка, оформляются в форме приказов Министерства.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Победитель отбора признается уклонившимся от заключения соглашения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случае, устанавливаемом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объявлении о проведении отбора.</w:t>
      </w:r>
      <w:r/>
    </w:p>
    <w:p>
      <w:pPr>
        <w:pStyle w:val="90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jc w:val="center"/>
        <w:shd w:val="clear" w:color="ffffff" w:themeColor="background1" w:fill="ffffff" w:themeFill="background1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7. Требования к отчетности получателей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pStyle w:val="901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01"/>
        <w:ind w:firstLine="567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7.1. Получатель субсидии представляет в Министерство при наличии технической возможности в системе «Электронный бюджет» 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отчеты:</w:t>
      </w:r>
      <w:r/>
    </w:p>
    <w:p>
      <w:pPr>
        <w:pStyle w:val="90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отчет о достижении значения результата предоставления субсидии, указанного в пункте 2.8 раздела 2 Порядка, в срок не позднее 25 февраля             2030 года;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отчет о реализации Плана мероприятий – ежеквартально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5-го рабочего дня месяца, следующего за отчетным, а также з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а IV квартал (итоговый годовой отчет) не позднее 25 февраля года, следующего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br/>
        <w:t xml:space="preserve">за отчетным.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/>
    </w:p>
    <w:p>
      <w:pPr>
        <w:pStyle w:val="90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7.2. Министерство в течение 3 (трех) дней со дня получения отчетности, предусмотренной пунктом 7.1 раздела 7 Порядка, проводит ее проверку.</w:t>
      </w:r>
      <w:r/>
    </w:p>
    <w:p>
      <w:pPr>
        <w:pStyle w:val="901"/>
        <w:ind w:firstLine="567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7.4.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случае если отсутствует техническая возможность представления отчетов, указанных в пункте 7.1 настоящего Порядка, в системе «Электронный бюджет», отчеты направляется в Министерство на бумажном носителе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в порядке,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предусмотренном пунктом 3.6  раздела 3 Порядка.</w:t>
      </w:r>
      <w:r/>
    </w:p>
    <w:p>
      <w:pPr>
        <w:pStyle w:val="917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8. Требования к осуществлению контроля (мониторинга)</w:t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соблюдением условий и порядка предоставления субсидий</w:t>
      </w:r>
      <w:r/>
    </w:p>
    <w:p>
      <w:pPr>
        <w:pStyle w:val="9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ответственности за их нарушение</w:t>
      </w:r>
      <w:r/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статьями 268.1 и 269.2 Бюджетного кодекса Российской Федерации.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проведение мониторинга достижения результата предоставления субсидии, определенного соглашением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случае нецелевого использования субсидии или неправомерного предоставления субсидии, выявленного в ходе проверок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8.1 раздела 8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соответствующие суммы субсидии подлежат взысканию в доход бюджета Белгородской области в полном объеме.</w:t>
      </w:r>
      <w:r/>
    </w:p>
    <w:p>
      <w:pPr>
        <w:pStyle w:val="901"/>
        <w:ind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10 (десяти) рабочих дней с даты выявления фактов, предусмотренных пунктом 8.3 раздела 8 Порядка, направляет получателю субсидии требование о возврате субсидии.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получателем субсидии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превышающий 20 (двадцати) рабочих дней со дня получения требования, указанного в первом абзаце настоящего пункта.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8.5. В случае если получателем субсидии не представлены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в Министерство отчеты,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пунктом 7.1 раздела 7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в сроки, установленные соглашением о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иных случаях неисполнения или ненадлежащего исполнения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предусмотренных соглашением о предоставлении субсидии, Министерство вправе потребовать уплаты штрафов.</w:t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штрафа устанавливается в следующем порядке:</w:t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1000 рублей, если сумма субсидии не превышает 3 млн. рублей (включительно);</w:t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5000 рублей, если сумма субсидии составляет от 3 млн. рублей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до 50 млн. рублей (включительно);</w:t>
      </w:r>
      <w:r/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10000 рублей, если сумма субсидии составляет от 50 млн. рублей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до 100 млн. рублей (включительно);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100000 рублей, если сумма субсидии превышает 100 млн. рублей.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10 (десяти) рабочих дней с даты выявления фактов, предусмотренных пунктом 8.4 раздела 8 Порядка, направляет получателю субсидии требование об уплате штрафов.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штрафов осуществляется получателем субсидии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превышающий 20 (двадцати) рабочих дней со дня получения требования, указанного в первом абзаце настоящего пункта.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значения результата предоставления субсидии, установленного в соответствии с пунктом 2.8 раздела 2 Порядка, размер средств, подлежащий возврату в областной бюджет определяется: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достижении уровня показателя ниже 80 (восьмидесяти) процентов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от установленного значения результата предоставления субсидии, соответствующие суммы субсидии подлежат взысканию в доход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объеме;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достижении уровня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показателя выше</w:t>
      </w:r>
      <w:r>
        <w:rPr>
          <w:rFonts w:ascii="Times New Roman" w:hAnsi="Times New Roman" w:cs="Times New Roman"/>
          <w:sz w:val="28"/>
          <w:szCs w:val="28"/>
        </w:rPr>
        <w:t xml:space="preserve"> 80 (восьмидесяти) процентов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, но ниже 100 (ста) процентов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установленного значения результата предоставления субсидии, соответствующие суммы субсидии подлежат взысканию в доход бюджета в следующем порядке:</w:t>
      </w:r>
      <w:r/>
    </w:p>
    <w:p>
      <w:pPr>
        <w:ind w:firstLine="54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10 процентов от суммы субсидии, если сумма субсидии не превышает </w:t>
      </w:r>
      <w:r>
        <w:rPr>
          <w:rFonts w:hAnsi="Times New Roman" w:cs="Times New Roman"/>
          <w:sz w:val="28"/>
          <w:szCs w:val="28"/>
        </w:rPr>
        <w:br/>
        <w:t xml:space="preserve">3 млн. рублей (включительно);</w:t>
      </w:r>
      <w:r/>
    </w:p>
    <w:p>
      <w:pPr>
        <w:ind w:firstLine="54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5 процентов от суммы субсидии, если сумма субсидии составляет </w:t>
      </w:r>
      <w:r>
        <w:rPr>
          <w:rFonts w:hAnsi="Times New Roman" w:cs="Times New Roman"/>
          <w:sz w:val="28"/>
          <w:szCs w:val="28"/>
        </w:rPr>
        <w:br/>
        <w:t xml:space="preserve">от 3 млн. рублей до 50 млн. рублей (включительно);</w:t>
      </w:r>
      <w:r/>
    </w:p>
    <w:p>
      <w:pPr>
        <w:ind w:firstLine="54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2,5 процента от суммы субсидии, если сумма субсидии составляет </w:t>
      </w:r>
      <w:r>
        <w:rPr>
          <w:rFonts w:hAnsi="Times New Roman" w:cs="Times New Roman"/>
          <w:sz w:val="28"/>
          <w:szCs w:val="28"/>
        </w:rPr>
        <w:br/>
        <w:t xml:space="preserve">от 50 млн. рублей до 100 млн. рублей (включительно);</w:t>
      </w:r>
      <w:r/>
    </w:p>
    <w:p>
      <w:pPr>
        <w:ind w:firstLine="540"/>
        <w:jc w:val="both"/>
        <w:rPr>
          <w:rFonts w:hAnsi="Times New Roman" w:cs="Times New Roman"/>
        </w:rPr>
      </w:pPr>
      <w:r>
        <w:rPr>
          <w:rFonts w:hAnsi="Times New Roman" w:cs="Times New Roman"/>
          <w:sz w:val="28"/>
          <w:szCs w:val="28"/>
        </w:rPr>
        <w:t xml:space="preserve">1 процент от суммы субсидии, если сумма субсидии превышает </w:t>
      </w:r>
      <w:r>
        <w:rPr>
          <w:rFonts w:hAnsi="Times New Roman" w:cs="Times New Roman"/>
          <w:sz w:val="28"/>
          <w:szCs w:val="28"/>
        </w:rPr>
        <w:br/>
        <w:t xml:space="preserve">100 млн. рублей.</w:t>
      </w:r>
      <w:r/>
    </w:p>
    <w:p>
      <w:pPr>
        <w:pStyle w:val="9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8.8. Министерство в течение 10 (десяти) рабочих дней со дня выявления фактов, предусмотренных </w:t>
      </w:r>
      <w:hyperlink w:tooltip="5.4. В случае если получателем субсидии на 31 декабря 2029 года допущены нарушения обязательств по достижению значений результата предоставления субсидий, установленных в соответствии с пунктом 3.10 раздела 3 Порядка, размер средств, подлежащий возврату в обла" w:anchor="P21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8.7 раздела 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направляет получателю субсидии требование об обеспечении возврата субсидии                            в областной бюджет в размере, определенном в соответствии с пунктом 8.7 раздела 8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Возврат субсидии осуществляется получателем субсидии в срок,                       не превышающий 20 (двадцати) рабочих дней со дня получения требования, указанного в первом абзаце настоящего пункта.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8.9. В случае невыполнения получателем субсидии требования о возврате субсидии взыскание производится в судебном порядке в соответствии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законодательством Российской Федерации.</w:t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Style w:val="750"/>
        <w:tblW w:w="9498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>
        <w:trPr>
          <w:trHeight w:val="1462"/>
        </w:trPr>
        <w:tc>
          <w:tcPr>
            <w:tcW w:w="4536" w:type="dxa"/>
            <w:textDirection w:val="lrTb"/>
            <w:noWrap w:val="false"/>
          </w:tcPr>
          <w:p>
            <w:pPr>
              <w:contextualSpacing/>
              <w:spacing w:line="235" w:lineRule="auto"/>
              <w:tabs>
                <w:tab w:val="left" w:pos="1215" w:leader="none"/>
              </w:tabs>
              <w:rPr>
                <w:rFonts w:hAnsi="Times New Roman" w:cs="Times New Roman"/>
              </w:rPr>
              <w:outlineLvl w:val="0"/>
            </w:pPr>
            <w:r>
              <w:rPr>
                <w:rFonts w:hAnsi="Times New Roman" w:cs="Times New Roman"/>
              </w:rPr>
            </w:r>
            <w:r/>
          </w:p>
          <w:p>
            <w:pPr>
              <w:contextualSpacing/>
              <w:jc w:val="center"/>
              <w:spacing w:line="235" w:lineRule="auto"/>
              <w:tabs>
                <w:tab w:val="left" w:pos="1215" w:leader="none"/>
              </w:tabs>
              <w:rPr>
                <w:rFonts w:hAnsi="Times New Roman" w:cs="Times New Roman"/>
              </w:rPr>
              <w:outlineLvl w:val="0"/>
            </w:pPr>
            <w:r>
              <w:rPr>
                <w:rFonts w:hAnsi="Times New Roman" w:cs="Times New Roman"/>
              </w:rPr>
            </w:r>
            <w:r/>
          </w:p>
          <w:p>
            <w:pPr>
              <w:contextualSpacing/>
              <w:jc w:val="center"/>
              <w:spacing w:line="235" w:lineRule="auto"/>
              <w:tabs>
                <w:tab w:val="left" w:pos="1215" w:leader="none"/>
              </w:tabs>
              <w:rPr>
                <w:rFonts w:hAnsi="Times New Roman" w:cs="Times New Roman"/>
                <w:color w:val="000000"/>
              </w:rPr>
              <w:outlineLvl w:val="0"/>
            </w:pPr>
            <w:r>
              <w:rPr>
                <w:rFonts w:hAnsi="Times New Roman" w:cs="Times New Roman"/>
                <w:color w:val="000000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contextualSpacing/>
              <w:ind w:left="-284"/>
              <w:jc w:val="center"/>
              <w:spacing w:line="235" w:lineRule="auto"/>
              <w:rPr>
                <w:rFonts w:hAnsi="Times New Roman" w:cs="Times New Roman"/>
              </w:rPr>
              <w:outlineLvl w:val="0"/>
            </w:pPr>
            <w:r>
              <w:rPr>
                <w:rFonts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Приложение № 1</w:t>
            </w:r>
            <w:r/>
          </w:p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к</w:t>
            </w:r>
            <w:r>
              <w:rPr>
                <w:rFonts w:hAnsi="Times New Roman" w:cs="Times New Roman"/>
                <w:b/>
                <w:bCs/>
                <w:sz w:val="28"/>
              </w:rPr>
              <w:t xml:space="preserve">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</w:tc>
      </w:tr>
    </w:tbl>
    <w:p>
      <w:pPr>
        <w:pStyle w:val="917"/>
        <w:contextualSpacing/>
        <w:spacing w:line="23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17"/>
        <w:contextualSpacing/>
        <w:spacing w:line="235" w:lineRule="auto"/>
      </w:pPr>
      <w:r/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/>
    </w:p>
    <w:p>
      <w:pPr>
        <w:pStyle w:val="91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критериев для оценки новых инвестиционных проектов (НИП)</w:t>
      </w:r>
      <w:r/>
    </w:p>
    <w:p>
      <w:pPr>
        <w:pStyle w:val="917"/>
        <w:contextualSpacing/>
        <w:spacing w:line="235" w:lineRule="auto"/>
      </w:pPr>
      <w:r/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8361"/>
      </w:tblGrid>
      <w:tr>
        <w:trPr/>
        <w:tc>
          <w:tcPr>
            <w:tcW w:w="1134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836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критерия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8361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НИП, млн рублей (без НДС)</w:t>
            </w:r>
            <w:r/>
          </w:p>
        </w:tc>
      </w:tr>
      <w:tr>
        <w:trPr>
          <w:trHeight w:val="363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8361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создаваемых рабочих мест при реализации НИП, чел.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8361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планируемых к зачислению до 31 декабря 2032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бюджет Белгородской области налоговых доходов от реализации НИП, млн рублей</w:t>
            </w:r>
            <w:r/>
          </w:p>
        </w:tc>
      </w:tr>
      <w:tr>
        <w:trPr>
          <w:trHeight w:val="322"/>
        </w:trPr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8361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планируемых к зачислению до 31 декабря 2032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федеральный бюджет налоговых доходов от реализации НИП,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 рублей</w:t>
            </w:r>
            <w:r/>
          </w:p>
        </w:tc>
      </w:tr>
    </w:tbl>
    <w:p>
      <w:pPr>
        <w:pStyle w:val="917"/>
        <w:contextualSpacing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rPr>
          <w:rFonts w:hAnsi="Times New Roman" w:cs="Times New Roman"/>
        </w:rPr>
      </w:pPr>
      <w:r>
        <w:rPr>
          <w:rFonts w:hAnsi="Times New Roman" w:cs="Times New Roman"/>
          <w:color w:val="000000"/>
          <w:sz w:val="28"/>
          <w:szCs w:val="28"/>
        </w:rPr>
        <w:br w:type="page" w:clear="all"/>
      </w:r>
      <w:r/>
    </w:p>
    <w:p>
      <w:pPr>
        <w:rPr>
          <w:rFonts w:hAnsi="Times New Roman" w:cs="Times New Roman"/>
        </w:rPr>
        <w:sectPr>
          <w:headerReference w:type="default" r:id="rId9"/>
          <w:footnotePr/>
          <w:endnotePr/>
          <w:type w:val="nextPage"/>
          <w:pgSz w:w="11905" w:h="16837" w:orient="portrait"/>
          <w:pgMar w:top="1312" w:right="567" w:bottom="992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hAnsi="Times New Roman" w:cs="Times New Roman"/>
        </w:rPr>
      </w:r>
      <w:r/>
    </w:p>
    <w:p>
      <w:pPr>
        <w:rPr>
          <w:rFonts w:hAnsi="Times New Roman" w:cs="Times New Roman"/>
        </w:rPr>
      </w:pPr>
      <w:r>
        <w:rPr>
          <w:rFonts w:hAnsi="Times New Roman" w:cs="Times New Roman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  <w:gridCol w:w="4961"/>
      </w:tblGrid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5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Приложение № 2</w:t>
            </w:r>
            <w:r/>
          </w:p>
        </w:tc>
      </w:tr>
      <w:tr>
        <w:trPr>
          <w:trHeight w:val="1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5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</w:tc>
      </w:tr>
    </w:tbl>
    <w:p>
      <w:pPr>
        <w:pStyle w:val="901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center"/>
        <w:rPr>
          <w:sz w:val="28"/>
          <w:szCs w:val="28"/>
        </w:rPr>
      </w:pPr>
      <w:r/>
      <w:bookmarkStart w:id="5" w:name="undefined"/>
      <w:r/>
      <w:r/>
    </w:p>
    <w:p>
      <w:pPr>
        <w:pStyle w:val="90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нового инвестиционного проекта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_________________________________________</w:t>
      </w:r>
      <w:r/>
    </w:p>
    <w:p>
      <w:pPr>
        <w:pStyle w:val="90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(полное наименование юридического лица, наименование нового инвестиционного проекта)</w:t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5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2898"/>
        <w:gridCol w:w="1276"/>
        <w:gridCol w:w="1417"/>
        <w:gridCol w:w="1559"/>
        <w:gridCol w:w="1559"/>
        <w:gridCol w:w="1559"/>
        <w:gridCol w:w="1559"/>
        <w:gridCol w:w="1417"/>
        <w:gridCol w:w="1559"/>
      </w:tblGrid>
      <w:tr>
        <w:trPr>
          <w:trHeight w:val="682"/>
        </w:trPr>
        <w:tc>
          <w:tcPr>
            <w:tcW w:w="565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9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Ansi="Times New Roman" w:eastAsia="Times New Roman" w:cs="Times New Roman"/>
                <w:bCs/>
                <w:color w:val="000000"/>
                <w:sz w:val="22"/>
              </w:rPr>
            </w:pPr>
            <w:r>
              <w:rPr>
                <w:rFonts w:hAnsi="Times New Roman" w:eastAsia="Times New Roman" w:cs="Times New Roman"/>
                <w:b/>
                <w:bCs/>
                <w:color w:val="000000"/>
                <w:sz w:val="22"/>
              </w:rPr>
              <w:t xml:space="preserve">Целевые показатели</w:t>
            </w:r>
            <w:r/>
          </w:p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(нарастающим итогом)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1-й год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2-й год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3-й год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4-й год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5-й год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6-й год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  <w:t xml:space="preserve">до 31 декабря 2032 г.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Всего</w:t>
            </w:r>
            <w:r/>
          </w:p>
        </w:tc>
      </w:tr>
      <w:tr>
        <w:trPr/>
        <w:tc>
          <w:tcPr>
            <w:tcW w:w="5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11.</w:t>
            </w:r>
            <w:r/>
          </w:p>
        </w:tc>
        <w:tc>
          <w:tcPr>
            <w:tcW w:w="2898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Общий объем инвестиций (стоимость НИП, млн руб.) без НДС</w:t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22.</w:t>
            </w:r>
            <w:r/>
          </w:p>
        </w:tc>
        <w:tc>
          <w:tcPr>
            <w:tcW w:w="2898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создаваемых рабочих мест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при реализации НИП,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33.</w:t>
            </w:r>
            <w:r/>
          </w:p>
        </w:tc>
        <w:tc>
          <w:tcPr>
            <w:tcW w:w="2898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Объем планируемых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к зачислению в бюджет Белгородской области </w:t>
            </w:r>
            <w:r>
              <w:rPr>
                <w:rFonts w:ascii="Times New Roman" w:hAnsi="Times New Roman" w:cs="Times New Roman"/>
                <w:sz w:val="22"/>
              </w:rPr>
              <w:t xml:space="preserve">налоговых доходов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от реализации НИП,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млн рублей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34.</w:t>
            </w:r>
            <w:r/>
          </w:p>
        </w:tc>
        <w:tc>
          <w:tcPr>
            <w:tcW w:w="2898" w:type="dxa"/>
            <w:vAlign w:val="center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Объем планируемых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к зачислению  в федеральный бюджет налоговых доходов от реализации НИП,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млн рублей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5"/>
      <w:r/>
    </w:p>
    <w:p>
      <w:pPr>
        <w:pStyle w:val="901"/>
        <w:jc w:val="both"/>
      </w:pPr>
      <w:r>
        <w:rPr>
          <w:rFonts w:ascii="Times New Roman" w:hAnsi="Times New Roman" w:cs="Times New Roman"/>
          <w:sz w:val="22"/>
        </w:rPr>
        <w:t xml:space="preserve">* - Прогноз объема налогов, уплаченных в ф</w:t>
      </w:r>
      <w:r>
        <w:rPr>
          <w:rFonts w:ascii="Times New Roman" w:hAnsi="Times New Roman" w:cs="Times New Roman"/>
          <w:sz w:val="22"/>
        </w:rPr>
        <w:t xml:space="preserve">едеральный бюджет Российской Федерации, за вычетом объема НДС, фактически возмещенного в соответствии с законодательством Российской Федерации о налогах и сборах (указывается сальдо налоговых платежей за год (нарастающим итогом) с учетом возмещенного НДС).</w:t>
      </w:r>
      <w:r/>
    </w:p>
    <w:p>
      <w:pPr>
        <w:pStyle w:val="901"/>
        <w:jc w:val="both"/>
      </w:pPr>
      <w:r/>
      <w:r/>
    </w:p>
    <w:tbl>
      <w:tblPr>
        <w:tblW w:w="1536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2"/>
        <w:gridCol w:w="1134"/>
        <w:gridCol w:w="4252"/>
        <w:gridCol w:w="4961"/>
      </w:tblGrid>
      <w:tr>
        <w:trPr/>
        <w:tc>
          <w:tcPr>
            <w:tcW w:w="5023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rPr>
                <w:rFonts w:ascii="Times New Roman" w:hAnsi="Times New Roman" w:cs="Times New Roman"/>
                <w:sz w:val="22"/>
              </w:rPr>
              <w:t xml:space="preserve">__________________________________</w:t>
            </w:r>
            <w:r/>
          </w:p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(наименование должности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руководителя инспектора)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 xml:space="preserve">______________</w:t>
            </w:r>
            <w:r/>
          </w:p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(подпись)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01"/>
              <w:jc w:val="right"/>
            </w:pPr>
            <w:r>
              <w:rPr>
                <w:rFonts w:ascii="Times New Roman" w:hAnsi="Times New Roman" w:cs="Times New Roman"/>
                <w:sz w:val="22"/>
              </w:rPr>
              <w:t xml:space="preserve">___________________</w:t>
            </w:r>
            <w:r/>
          </w:p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(Ф.И.О. полностью)</w:t>
            </w:r>
            <w:r/>
          </w:p>
        </w:tc>
      </w:tr>
    </w:tbl>
    <w:p>
      <w:pPr>
        <w:pStyle w:val="901"/>
        <w:jc w:val="both"/>
        <w:rPr>
          <w:rFonts w:ascii="Times New Roman" w:hAnsi="Times New Roman" w:cs="Times New Roman"/>
        </w:rPr>
      </w:pPr>
      <w:r>
        <w:br w:type="page" w:clear="all"/>
      </w:r>
      <w:r/>
    </w:p>
    <w:p>
      <w:pPr>
        <w:pStyle w:val="901"/>
        <w:jc w:val="both"/>
        <w:rPr>
          <w:rFonts w:ascii="Times New Roman" w:hAnsi="Times New Roman" w:cs="Times New Roman"/>
        </w:rPr>
        <w:sectPr>
          <w:footnotePr/>
          <w:endnotePr/>
          <w:type w:val="nextPage"/>
          <w:pgSz w:w="16837" w:h="11905" w:orient="landscape"/>
          <w:pgMar w:top="1701" w:right="1312" w:bottom="567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852"/>
      </w:tblGrid>
      <w:tr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2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Приложение № 3</w:t>
            </w:r>
            <w:r/>
          </w:p>
        </w:tc>
      </w:tr>
      <w:tr>
        <w:trPr>
          <w:trHeight w:val="1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</w:tc>
      </w:tr>
    </w:tbl>
    <w:p>
      <w:pPr>
        <w:pStyle w:val="9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Обязательство</w:t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50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81"/>
        <w:gridCol w:w="1975"/>
        <w:gridCol w:w="1536"/>
        <w:gridCol w:w="307"/>
        <w:gridCol w:w="1362"/>
        <w:gridCol w:w="1846"/>
      </w:tblGrid>
      <w:tr>
        <w:trPr>
          <w:trHeight w:val="280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507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__________________________________________________________________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br/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полное или сокращенное наименование юридического лица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)</w:t>
            </w:r>
            <w:r/>
          </w:p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</w:pPr>
            <w:r>
              <w:rPr>
                <w:rFonts w:hAnsi="Times New Roman" w:cs="Times New Roman"/>
                <w:color w:val="000000"/>
                <w:sz w:val="28"/>
                <w:shd w:val="clear" w:color="auto" w:fill="ffffff"/>
              </w:rPr>
              <w:t xml:space="preserve">обязуется обеспечить исполнение прогнозных значений объемов инвестиций, создания рабочих мест, сумм </w:t>
            </w:r>
            <w:r>
              <w:rPr>
                <w:rFonts w:hAnsi="Times New Roman" w:cs="Times New Roman"/>
                <w:sz w:val="28"/>
                <w:szCs w:val="28"/>
              </w:rPr>
              <w:t xml:space="preserve">налоговых отчислений (доходов)</w:t>
            </w:r>
            <w:r>
              <w:rPr>
                <w:rFonts w:hAnsi="Times New Roman" w:cs="Times New Roman"/>
                <w:sz w:val="28"/>
                <w:szCs w:val="28"/>
              </w:rPr>
              <w:br/>
              <w:t xml:space="preserve">в областной и местный бюджеты, </w:t>
            </w:r>
            <w:r>
              <w:rPr>
                <w:rFonts w:hAnsi="Times New Roman" w:cs="Times New Roman"/>
                <w:color w:val="000000"/>
                <w:sz w:val="28"/>
                <w:shd w:val="clear" w:color="auto" w:fill="ffffff"/>
              </w:rPr>
              <w:t xml:space="preserve">от реализации нового инвестиционного проекта, </w:t>
            </w:r>
            <w:r>
              <w:rPr>
                <w:rFonts w:hAnsi="Times New Roman" w:cs="Times New Roman"/>
                <w:sz w:val="28"/>
                <w:szCs w:val="28"/>
              </w:rPr>
              <w:t xml:space="preserve">установленных в соглашении о предоставлении из областного бюджета субсидии на возмещение затрат по созданию объектов инфраструктуры, необходимых для реализации НИП в 2025-2029 годах, </w:t>
            </w:r>
            <w:r>
              <w:rPr>
                <w:rFonts w:hAnsi="Times New Roman" w:cs="Times New Roman"/>
                <w:sz w:val="28"/>
                <w:szCs w:val="28"/>
              </w:rPr>
              <w:br/>
              <w:t xml:space="preserve">в рамках реализации ведомственного проекта «Реализация мероприятий </w:t>
            </w:r>
            <w:r>
              <w:rPr>
                <w:rFonts w:hAnsi="Times New Roman" w:cs="Times New Roman"/>
                <w:sz w:val="28"/>
                <w:szCs w:val="28"/>
              </w:rPr>
              <w:br/>
              <w:t xml:space="preserve">по привлечению инвестиций и работ с инвесторами» государственной программы Белгородской области «Развитие экономического потенциала </w:t>
            </w:r>
            <w:r>
              <w:rPr>
                <w:rFonts w:hAnsi="Times New Roman" w:cs="Times New Roman"/>
                <w:sz w:val="28"/>
                <w:szCs w:val="28"/>
              </w:rPr>
              <w:br/>
              <w:t xml:space="preserve">и формирование благоприятного предпринимательского климата </w:t>
            </w:r>
            <w:r>
              <w:rPr>
                <w:rFonts w:hAnsi="Times New Roman" w:cs="Times New Roman"/>
                <w:sz w:val="28"/>
                <w:szCs w:val="28"/>
              </w:rPr>
              <w:br/>
              <w:t xml:space="preserve">в Белгородской области», утвержденной постановлением Правительства Белгородской области от 25 декабря 2023 года № 750-пп.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901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Руководитель организации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81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75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62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81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75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62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6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(Ф.И.О.)</w:t>
            </w:r>
            <w:r/>
          </w:p>
        </w:tc>
      </w:tr>
      <w:tr>
        <w:trPr>
          <w:trHeight w:val="43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92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«__» __________ 20__ г.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15" w:type="dxa"/>
            <w:vAlign w:val="bottom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     М.П.</w:t>
            </w:r>
            <w:r/>
          </w:p>
        </w:tc>
      </w:tr>
    </w:tbl>
    <w:p>
      <w:pPr>
        <w:pStyle w:val="901"/>
        <w:ind w:left="72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left="72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color w:val="auto"/>
                <w:sz w:val="28"/>
                <w:szCs w:val="22"/>
              </w:rPr>
            </w:pPr>
            <w:r>
              <w:rPr>
                <w:rFonts w:eastAsia="Arial"/>
                <w:b/>
                <w:color w:val="auto"/>
                <w:sz w:val="28"/>
                <w:szCs w:val="22"/>
              </w:rPr>
              <w:t xml:space="preserve">Приложение № 4</w:t>
            </w:r>
            <w:r/>
          </w:p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Реестр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фактически понесенных участником отбора затрат (без НДС)                                         на создание объектов инфраструктуры, необходимых для реализации НИП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______________________________________________________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(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полное наименование юридического лица, наименование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нового инвестиционного проекта)</w:t>
      </w:r>
      <w:r/>
    </w:p>
    <w:tbl>
      <w:tblPr>
        <w:tblW w:w="945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843"/>
        <w:gridCol w:w="1701"/>
        <w:gridCol w:w="1843"/>
        <w:gridCol w:w="1654"/>
      </w:tblGrid>
      <w:tr>
        <w:trPr>
          <w:trHeight w:val="3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Наименование затрат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Сумма оплаты </w:t>
            </w:r>
            <w:r>
              <w:rPr>
                <w:b/>
                <w:sz w:val="22"/>
                <w:shd w:val="clear" w:color="auto" w:fill="ffffff"/>
              </w:rPr>
              <w:br/>
              <w:t xml:space="preserve">по платежному поручению (документу </w:t>
            </w:r>
            <w:r>
              <w:rPr>
                <w:b/>
                <w:sz w:val="22"/>
                <w:shd w:val="clear" w:color="auto" w:fill="ffffff"/>
              </w:rPr>
              <w:br/>
              <w:t xml:space="preserve">об оплате) </w:t>
            </w:r>
            <w:r>
              <w:rPr>
                <w:b/>
                <w:sz w:val="22"/>
                <w:shd w:val="clear" w:color="auto" w:fill="ffffff"/>
              </w:rPr>
              <w:br/>
              <w:t xml:space="preserve">(без НДС) (рублей)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Наименование поставщика, подрядчика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Дата и номер договора </w:t>
            </w:r>
            <w:r>
              <w:rPr>
                <w:b/>
                <w:sz w:val="22"/>
                <w:shd w:val="clear" w:color="auto" w:fill="ffffff"/>
              </w:rPr>
              <w:br/>
              <w:t xml:space="preserve">с поставщиком, подрядчиком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2"/>
                <w:shd w:val="clear" w:color="auto" w:fill="ffffff"/>
              </w:rPr>
              <w:t xml:space="preserve">Назначение платежа</w:t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Затраты, 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2"/>
                <w:shd w:val="clear" w:color="auto" w:fill="ffffff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</w:tbl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5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0"/>
        <w:gridCol w:w="549"/>
        <w:gridCol w:w="17"/>
        <w:gridCol w:w="2617"/>
        <w:gridCol w:w="850"/>
        <w:gridCol w:w="993"/>
        <w:gridCol w:w="295"/>
        <w:gridCol w:w="3190"/>
      </w:tblGrid>
      <w:tr>
        <w:trPr>
          <w:trHeight w:val="27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73" w:type="dxa"/>
            <w:textDirection w:val="lrTb"/>
            <w:noWrap w:val="false"/>
          </w:tcPr>
          <w:p>
            <w:pPr>
              <w:pStyle w:val="930"/>
              <w:rPr>
                <w:b/>
                <w:bCs/>
              </w:rPr>
            </w:pPr>
            <w:r>
              <w:rPr>
                <w:b/>
                <w:bCs/>
                <w:sz w:val="24"/>
                <w:shd w:val="clear" w:color="auto" w:fill="ffffff"/>
              </w:rPr>
              <w:t xml:space="preserve">Руководитель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478" w:type="dxa"/>
            <w:textDirection w:val="lrTb"/>
            <w:noWrap w:val="false"/>
          </w:tcPr>
          <w:p>
            <w:pPr>
              <w:pStyle w:val="930"/>
              <w:rPr>
                <w:b/>
                <w:bCs/>
              </w:rPr>
            </w:pPr>
            <w:r>
              <w:rPr>
                <w:b/>
                <w:bCs/>
                <w:sz w:val="24"/>
                <w:shd w:val="clear" w:color="auto" w:fill="ffffff"/>
              </w:rPr>
              <w:t xml:space="preserve">Главный бухгалтер организации</w:t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0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9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3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5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90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0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(подпись)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6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7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30"/>
              <w:ind w:left="-113" w:firstLine="1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5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90" w:type="dxa"/>
            <w:textDirection w:val="lrTb"/>
            <w:noWrap w:val="false"/>
          </w:tcPr>
          <w:p>
            <w:pPr>
              <w:pStyle w:val="930"/>
              <w:tabs>
                <w:tab w:val="center" w:pos="3125" w:leader="none"/>
              </w:tabs>
            </w:pPr>
            <w:r>
              <w:rPr>
                <w:b/>
                <w:shd w:val="clear" w:color="auto" w:fill="ffffff"/>
              </w:rPr>
              <w:t xml:space="preserve">                      </w:t>
            </w:r>
            <w:r>
              <w:rPr>
                <w:shd w:val="clear" w:color="auto" w:fill="ffffff"/>
              </w:rPr>
              <w:t xml:space="preserve">  (Ф.И.О.)</w:t>
            </w:r>
            <w:r>
              <w:rPr>
                <w:shd w:val="clear" w:color="auto" w:fill="ffffff"/>
              </w:rPr>
              <w:tab/>
            </w:r>
            <w:r/>
          </w:p>
        </w:tc>
      </w:tr>
      <w:tr>
        <w:trPr>
          <w:trHeight w:val="101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23" w:type="dxa"/>
            <w:vAlign w:val="bottom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  <w:p>
            <w:pPr>
              <w:pStyle w:val="930"/>
            </w:pPr>
            <w:r/>
            <w:r/>
          </w:p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«___» _______________ 20__ г.</w:t>
            </w:r>
            <w:r/>
          </w:p>
          <w:p>
            <w:pPr>
              <w:pStyle w:val="930"/>
              <w:jc w:val="center"/>
            </w:pPr>
            <w:r/>
            <w:r/>
          </w:p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М.П.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478" w:type="dxa"/>
            <w:textDirection w:val="lrTb"/>
            <w:noWrap w:val="false"/>
          </w:tcPr>
          <w:p>
            <w:pPr>
              <w:pStyle w:val="930"/>
            </w:pPr>
            <w:r/>
            <w:r/>
          </w:p>
          <w:p>
            <w:pPr>
              <w:pStyle w:val="930"/>
            </w:pPr>
            <w:r/>
            <w:r/>
          </w:p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«___» _______________ 20__ г.</w:t>
            </w:r>
            <w:r/>
          </w:p>
          <w:p>
            <w:pPr>
              <w:pStyle w:val="930"/>
              <w:jc w:val="center"/>
            </w:pPr>
            <w:r/>
            <w:r/>
          </w:p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М.П.</w:t>
            </w:r>
            <w:r/>
          </w:p>
        </w:tc>
      </w:tr>
    </w:tbl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393"/>
      </w:tblGrid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Приложение № 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Расчет размера возмещения суммы фактически понесенных участником отбора затрат (без НДС) на создание объектов инфраструктуры, необходимых для реализации НИП</w:t>
      </w:r>
      <w:r/>
    </w:p>
    <w:p>
      <w:pPr>
        <w:pStyle w:val="901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pStyle w:val="901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________________________________________________________________________________</w:t>
      </w:r>
      <w:r/>
    </w:p>
    <w:p>
      <w:pPr>
        <w:pStyle w:val="930"/>
        <w:jc w:val="center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(полное или сокращенное наименование юридического лица)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Адрес __________________________________________________________________________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Телефон   _______________________________________________________________________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ИНН _________________________________ ОКТМО __________________________________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Наименование кредитной организации ___________________ БИК_______________________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Расчетный счет___________________________________________________________________</w:t>
      </w:r>
      <w:r/>
    </w:p>
    <w:p>
      <w:pPr>
        <w:pStyle w:val="930"/>
        <w:rPr>
          <w:sz w:val="18"/>
          <w:szCs w:val="18"/>
        </w:rPr>
      </w:pPr>
      <w:r>
        <w:rPr>
          <w:sz w:val="24"/>
          <w:szCs w:val="18"/>
          <w:shd w:val="clear" w:color="auto" w:fill="ffffff"/>
        </w:rPr>
        <w:t xml:space="preserve">Кор. счет________________________________________________________________________</w:t>
      </w:r>
      <w:r/>
    </w:p>
    <w:p>
      <w:pPr>
        <w:pStyle w:val="930"/>
      </w:pPr>
      <w:r>
        <w:rPr>
          <w:sz w:val="24"/>
          <w:szCs w:val="18"/>
          <w:shd w:val="clear" w:color="auto" w:fill="ffffff"/>
        </w:rPr>
        <w:t xml:space="preserve">Род деятельности получателя бюджетных средств по ОКВЭД ___________________________</w:t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639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4524"/>
        <w:gridCol w:w="5115"/>
      </w:tblGrid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4" w:type="dxa"/>
            <w:vAlign w:val="center"/>
            <w:textDirection w:val="lrTb"/>
            <w:noWrap w:val="false"/>
          </w:tcPr>
          <w:p>
            <w:pPr>
              <w:pStyle w:val="930"/>
              <w:ind w:right="22"/>
              <w:jc w:val="center"/>
            </w:pPr>
            <w:r>
              <w:rPr>
                <w:b/>
                <w:sz w:val="24"/>
                <w:shd w:val="clear" w:color="auto" w:fill="ffffff"/>
              </w:rPr>
              <w:t xml:space="preserve">Сумма фактически понесенных и документально подтвержденных затрат 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 xml:space="preserve">выполнение инженерных изысканий, проектирование, эксп</w:t>
            </w:r>
            <w:r>
              <w:rPr>
                <w:b/>
                <w:bCs/>
                <w:sz w:val="24"/>
                <w:szCs w:val="24"/>
              </w:rPr>
              <w:t xml:space="preserve">ертизу проектной документации и (или) результатов инженерных изысканий, строительство, реконструкцию и ввод в эксплуатацию объектов транспортной и инженерной инфраструктуры, объектов инфраструктуры, необходимых для реализации нового инвестиционного проекта</w:t>
            </w:r>
            <w:r>
              <w:rPr>
                <w:b/>
                <w:sz w:val="24"/>
                <w:shd w:val="clear" w:color="auto" w:fill="ffffff"/>
              </w:rPr>
              <w:t xml:space="preserve"> (без НДС), </w:t>
            </w:r>
            <w:r>
              <w:rPr>
                <w:b/>
                <w:sz w:val="24"/>
                <w:shd w:val="clear" w:color="auto" w:fill="ffffff"/>
              </w:rPr>
              <w:br/>
              <w:t xml:space="preserve">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15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z w:val="24"/>
                <w:shd w:val="clear" w:color="auto" w:fill="ffffff"/>
              </w:rPr>
              <w:t xml:space="preserve">  Сумма возмещения из областного бюджета, рублей</w:t>
            </w:r>
            <w:r/>
          </w:p>
          <w:p>
            <w:pPr>
              <w:pStyle w:val="930"/>
              <w:tabs>
                <w:tab w:val="left" w:pos="5581" w:leader="none"/>
              </w:tabs>
            </w:pPr>
            <w:r>
              <w:rPr>
                <w:sz w:val="24"/>
                <w:shd w:val="clear" w:color="auto" w:fill="ffffff"/>
              </w:rPr>
              <w:tab/>
            </w:r>
            <w:r/>
          </w:p>
          <w:p>
            <w:pPr>
              <w:pStyle w:val="930"/>
              <w:tabs>
                <w:tab w:val="left" w:pos="5581" w:leader="none"/>
              </w:tabs>
            </w:pPr>
            <w:r>
              <w:rPr>
                <w:sz w:val="24"/>
                <w:shd w:val="clear" w:color="auto" w:fill="ffffff"/>
              </w:rPr>
              <w:tab/>
            </w:r>
            <w:r/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4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4"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15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z w:val="24"/>
                <w:shd w:val="clear" w:color="auto" w:fill="ffffff"/>
              </w:rPr>
              <w:t xml:space="preserve">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4" w:type="dxa"/>
            <w:vAlign w:val="center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15" w:type="dxa"/>
            <w:vAlign w:val="center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</w:r>
            <w:r/>
          </w:p>
        </w:tc>
      </w:tr>
    </w:tbl>
    <w:p>
      <w:pPr>
        <w:pStyle w:val="930"/>
      </w:pPr>
      <w:r/>
      <w:r/>
    </w:p>
    <w:tbl>
      <w:tblPr>
        <w:tblW w:w="9498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410"/>
        <w:gridCol w:w="1134"/>
        <w:gridCol w:w="1052"/>
        <w:gridCol w:w="790"/>
        <w:gridCol w:w="2694"/>
      </w:tblGrid>
      <w:tr>
        <w:trPr>
          <w:trHeight w:val="27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8" w:type="dxa"/>
            <w:textDirection w:val="lrTb"/>
            <w:noWrap w:val="false"/>
          </w:tcPr>
          <w:p>
            <w:pPr>
              <w:pStyle w:val="930"/>
              <w:rPr>
                <w:b/>
                <w:bCs/>
              </w:rPr>
            </w:pPr>
            <w:r>
              <w:rPr>
                <w:b/>
                <w:bCs/>
                <w:sz w:val="24"/>
                <w:shd w:val="clear" w:color="auto" w:fill="ffffff"/>
              </w:rPr>
              <w:t xml:space="preserve">Руководитель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pStyle w:val="930"/>
              <w:rPr>
                <w:b/>
                <w:bCs/>
              </w:rPr>
            </w:pPr>
            <w:r>
              <w:rPr>
                <w:b/>
                <w:bCs/>
                <w:sz w:val="24"/>
                <w:shd w:val="clear" w:color="auto" w:fill="ffffff"/>
              </w:rPr>
              <w:t xml:space="preserve">Главный бухгалтер организации</w:t>
            </w:r>
            <w:r/>
          </w:p>
        </w:tc>
      </w:tr>
      <w:tr>
        <w:trPr>
          <w:trHeight w:val="4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2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0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4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930"/>
              <w:ind w:left="-113" w:firstLine="1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2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0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4" w:type="dxa"/>
            <w:textDirection w:val="lrTb"/>
            <w:noWrap w:val="false"/>
          </w:tcPr>
          <w:p>
            <w:pPr>
              <w:pStyle w:val="930"/>
              <w:tabs>
                <w:tab w:val="center" w:pos="3125" w:leader="none"/>
              </w:tabs>
            </w:pPr>
            <w:r>
              <w:rPr>
                <w:shd w:val="clear" w:color="auto" w:fill="ffffff"/>
              </w:rPr>
              <w:t xml:space="preserve">                       (Ф.И.О.)</w:t>
            </w:r>
            <w:r>
              <w:rPr>
                <w:shd w:val="clear" w:color="auto" w:fill="ffffff"/>
              </w:rPr>
              <w:tab/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962" w:type="dxa"/>
            <w:vAlign w:val="bottom"/>
            <w:textDirection w:val="lrTb"/>
            <w:noWrap w:val="false"/>
          </w:tcPr>
          <w:p>
            <w:pPr>
              <w:pStyle w:val="930"/>
            </w:pPr>
            <w:r/>
            <w:r/>
          </w:p>
          <w:p>
            <w:pPr>
              <w:pStyle w:val="930"/>
            </w:pPr>
            <w:r>
              <w:rPr>
                <w:shd w:val="clear" w:color="auto" w:fill="ffffff"/>
              </w:rPr>
              <w:t xml:space="preserve">«___» _______________ 20__ г.</w:t>
            </w:r>
            <w:r/>
          </w:p>
          <w:p>
            <w:pPr>
              <w:pStyle w:val="930"/>
            </w:pPr>
            <w:r/>
            <w:r/>
          </w:p>
          <w:p>
            <w:pPr>
              <w:pStyle w:val="930"/>
            </w:pPr>
            <w:r>
              <w:rPr>
                <w:shd w:val="clear" w:color="auto" w:fill="ffffff"/>
              </w:rPr>
              <w:t xml:space="preserve">М.П.</w:t>
            </w:r>
            <w:r/>
          </w:p>
          <w:p>
            <w:pPr>
              <w:pStyle w:val="930"/>
              <w:jc w:val="center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pStyle w:val="930"/>
            </w:pPr>
            <w:r/>
            <w:r/>
          </w:p>
          <w:p>
            <w:pPr>
              <w:pStyle w:val="930"/>
            </w:pPr>
            <w:r>
              <w:rPr>
                <w:shd w:val="clear" w:color="auto" w:fill="ffffff"/>
              </w:rPr>
              <w:t xml:space="preserve">«___» _______________ 20__ г.</w:t>
            </w:r>
            <w:r/>
          </w:p>
          <w:p>
            <w:pPr>
              <w:pStyle w:val="930"/>
              <w:jc w:val="center"/>
            </w:pPr>
            <w:r/>
            <w:r/>
          </w:p>
          <w:p>
            <w:pPr>
              <w:pStyle w:val="930"/>
            </w:pPr>
            <w:r>
              <w:rPr>
                <w:shd w:val="clear" w:color="auto" w:fill="ffffff"/>
              </w:rPr>
              <w:t xml:space="preserve">М.П.</w:t>
            </w:r>
            <w:r/>
          </w:p>
          <w:p>
            <w:pPr>
              <w:pStyle w:val="929"/>
              <w:jc w:val="center"/>
            </w:pPr>
            <w:r/>
            <w:r/>
          </w:p>
        </w:tc>
      </w:tr>
    </w:tbl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710"/>
      </w:tblGrid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0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Приложение № 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0" w:type="dxa"/>
            <w:textDirection w:val="lrTb"/>
            <w:noWrap w:val="false"/>
          </w:tcPr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  <w:p>
            <w:pPr>
              <w:pStyle w:val="901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ind w:firstLine="0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Обязательство</w:t>
      </w:r>
      <w:r/>
    </w:p>
    <w:p>
      <w:pPr>
        <w:pStyle w:val="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5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50"/>
        <w:gridCol w:w="1281"/>
        <w:gridCol w:w="1985"/>
        <w:gridCol w:w="1057"/>
        <w:gridCol w:w="2456"/>
      </w:tblGrid>
      <w:tr>
        <w:trPr>
          <w:trHeight w:val="5659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529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___________________________________________________________________</w:t>
            </w:r>
            <w:r/>
          </w:p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 (полное или сокращенное наименование юридического лица)</w:t>
            </w:r>
            <w:r/>
          </w:p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tabs>
                <w:tab w:val="left" w:pos="56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обязуется представить документы и сведения, необходимые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br/>
              <w:t xml:space="preserve">для проведения Федеральным казначейством проверочных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br/>
              <w:t xml:space="preserve">мероприятий осуществления финансово-хозяйственной деятельности __________________________________________________________________,</w:t>
            </w:r>
            <w:r/>
          </w:p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      (полное наименование юридического лица)</w:t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 целях подтверждения достоверности суммы доходов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br/>
              <w:t xml:space="preserve">от реализации нового инвестиционного проекта __________________________________________________________________,</w:t>
            </w:r>
            <w:r/>
          </w:p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(наименование проекта)</w:t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используемых для расчета поступления налоговых доходов от реализации нового инвестиционного проекта.</w:t>
            </w:r>
            <w:r/>
          </w:p>
        </w:tc>
      </w:tr>
      <w:tr>
        <w:trPr>
          <w:trHeight w:val="26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529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Руководитель организации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0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81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7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56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0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81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57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56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(Ф.И.О)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31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«__»  ____________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42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56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852"/>
      </w:tblGrid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2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Приложение № 7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</w:tc>
      </w:tr>
    </w:tbl>
    <w:p>
      <w:pPr>
        <w:pStyle w:val="90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Справка об отсутствии просроченной задолженности по возврату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в областной бюджет субсидий, бюджетных инвестиций,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предоставленных в соответствии с иными правовыми актами,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а также иной просроченной (неурегулированной) задолженности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денежным обязательствам перед областным бюджетом,</w:t>
      </w:r>
      <w:r/>
    </w:p>
    <w:p>
      <w:pPr>
        <w:pStyle w:val="9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на «__» ________ 20__ года</w:t>
      </w:r>
      <w:r/>
    </w:p>
    <w:p>
      <w:pPr>
        <w:pStyle w:val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9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64"/>
        <w:gridCol w:w="567"/>
        <w:gridCol w:w="567"/>
        <w:gridCol w:w="567"/>
        <w:gridCol w:w="567"/>
        <w:gridCol w:w="425"/>
        <w:gridCol w:w="567"/>
        <w:gridCol w:w="425"/>
        <w:gridCol w:w="709"/>
        <w:gridCol w:w="850"/>
        <w:gridCol w:w="426"/>
        <w:gridCol w:w="567"/>
        <w:gridCol w:w="425"/>
        <w:gridCol w:w="709"/>
        <w:gridCol w:w="786"/>
      </w:tblGrid>
      <w:tr>
        <w:trPr>
          <w:trHeight w:val="1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Наименование средств, предоставленных из областного бюджета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Нормативный правовой акт Белгородской области,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с которым получателю предоставлены средства из областного бюджета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Соглашение (договор)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на предоставление средств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из областного бюджета, заключенное(ый) между главным распорядителем средств областного бюджета и получателем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Договоры (контракты), заключенные получателем в целях исполнения обязательств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в рамках соглашения (договора)</w:t>
            </w:r>
            <w:r/>
          </w:p>
        </w:tc>
      </w:tr>
      <w:tr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continue"/>
            <w:textDirection w:val="lrTb"/>
            <w:noWrap w:val="false"/>
          </w:tcPr>
          <w:p>
            <w:pPr>
              <w:pStyle w:val="9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цели предоставления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сумм, руб.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из них имеется задолженность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сумма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95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из них имеется задолженность</w:t>
            </w:r>
            <w:r/>
          </w:p>
        </w:tc>
      </w:tr>
      <w:tr>
        <w:trPr>
          <w:trHeight w:val="1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continue"/>
            <w:textDirection w:val="lrTb"/>
            <w:noWrap w:val="false"/>
          </w:tcPr>
          <w:p>
            <w:pPr>
              <w:pStyle w:val="9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 том числе просроченная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" w:type="dxa"/>
            <w:vAlign w:val="center"/>
            <w:textDirection w:val="btLr"/>
            <w:noWrap w:val="false"/>
          </w:tcPr>
          <w:p>
            <w:pPr>
              <w:pStyle w:val="901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 том числе просроченная</w:t>
            </w:r>
            <w:r/>
          </w:p>
        </w:tc>
      </w:tr>
      <w:tr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949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3622"/>
        <w:gridCol w:w="341"/>
        <w:gridCol w:w="1604"/>
        <w:gridCol w:w="341"/>
        <w:gridCol w:w="404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50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      Руководитель организации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3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4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40" w:type="dxa"/>
            <w:vAlign w:val="bottom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3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        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4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40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               (Ф.И.О.)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64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«__» 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45" w:type="dxa"/>
            <w:textDirection w:val="lrTb"/>
            <w:noWrap w:val="false"/>
          </w:tcPr>
          <w:p>
            <w:pPr>
              <w:pStyle w:val="90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40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hAnsi="Times New Roman" w:cs="Times New Roman"/>
        </w:rPr>
      </w:pPr>
      <w:r>
        <w:rPr>
          <w:rFonts w:hAnsi="Times New Roman" w:cs="Times New Roman"/>
        </w:rPr>
        <w:br w:type="page" w:clear="all"/>
      </w:r>
      <w:r/>
    </w:p>
    <w:p>
      <w:pPr>
        <w:pStyle w:val="901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  <w:sectPr>
          <w:footnotePr/>
          <w:endnotePr/>
          <w:type w:val="nextPage"/>
          <w:pgSz w:w="11905" w:h="16837" w:orient="portrait"/>
          <w:pgMar w:top="1312" w:right="567" w:bottom="992" w:left="1701" w:header="853" w:footer="992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/>
    </w:p>
    <w:tbl>
      <w:tblPr>
        <w:tblStyle w:val="750"/>
        <w:tblW w:w="144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604"/>
        <w:gridCol w:w="48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4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3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Приложение № 8</w:t>
            </w:r>
            <w:r/>
          </w:p>
          <w:p>
            <w:pPr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</w:rPr>
              <w:t xml:space="preserve">к Порядку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из бюджета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Белгородской области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затрат на создание объектов инфраструктуры,</w:t>
            </w:r>
            <w:r/>
          </w:p>
          <w:p>
            <w:pPr>
              <w:pStyle w:val="9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для реализации новых инвестиционных проектов</w:t>
            </w:r>
            <w:r/>
          </w:p>
          <w:p>
            <w:pPr>
              <w:jc w:val="center"/>
              <w:rPr>
                <w:rFonts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в 2025-2029 годах</w:t>
            </w:r>
            <w:r/>
          </w:p>
        </w:tc>
      </w:tr>
    </w:tbl>
    <w:p>
      <w:pPr>
        <w:pStyle w:val="930"/>
        <w:tabs>
          <w:tab w:val="left" w:pos="-7572" w:leader="none"/>
        </w:tabs>
      </w:pPr>
      <w:r/>
      <w:r/>
    </w:p>
    <w:p>
      <w:pPr>
        <w:pStyle w:val="930"/>
      </w:pPr>
      <w:r/>
      <w:r/>
    </w:p>
    <w:p>
      <w:pPr>
        <w:pStyle w:val="930"/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Журнал</w:t>
      </w:r>
      <w:r/>
    </w:p>
    <w:p>
      <w:pPr>
        <w:pStyle w:val="930"/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регистрации заявок участников отбора</w:t>
      </w:r>
      <w:r/>
    </w:p>
    <w:p>
      <w:pPr>
        <w:pStyle w:val="93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30"/>
        <w:jc w:val="center"/>
      </w:pPr>
      <w:r/>
      <w:r/>
    </w:p>
    <w:tbl>
      <w:tblPr>
        <w:tblW w:w="144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1560"/>
        <w:gridCol w:w="1701"/>
        <w:gridCol w:w="1559"/>
        <w:gridCol w:w="1417"/>
        <w:gridCol w:w="1985"/>
        <w:gridCol w:w="2268"/>
        <w:gridCol w:w="2158"/>
      </w:tblGrid>
      <w:tr>
        <w:trPr>
          <w:trHeight w:val="1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pStyle w:val="930"/>
              <w:ind w:left="-137" w:right="-93"/>
              <w:jc w:val="center"/>
            </w:pPr>
            <w:r>
              <w:rPr>
                <w:b/>
                <w:shd w:val="clear" w:color="auto" w:fill="ffffff"/>
              </w:rPr>
              <w:t xml:space="preserve">№ </w:t>
            </w:r>
            <w:r/>
          </w:p>
          <w:p>
            <w:pPr>
              <w:pStyle w:val="930"/>
              <w:ind w:left="-137" w:right="-93"/>
              <w:jc w:val="center"/>
              <w:rPr>
                <w:b/>
                <w:bCs/>
              </w:rPr>
            </w:pPr>
            <w:r>
              <w:rPr>
                <w:b/>
                <w:shd w:val="clear" w:color="auto" w:fill="ffffff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Дата и время регистрации заявок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Наименование участника отбора, 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0"/>
              <w:ind w:right="34"/>
              <w:jc w:val="center"/>
            </w:pPr>
            <w:r>
              <w:rPr>
                <w:b/>
                <w:shd w:val="clear" w:color="auto" w:fill="ffffff"/>
              </w:rPr>
              <w:t xml:space="preserve">Фактический </w:t>
            </w:r>
            <w:r>
              <w:rPr>
                <w:b/>
                <w:shd w:val="clear" w:color="auto" w:fill="ffffff"/>
              </w:rPr>
              <w:br/>
              <w:t xml:space="preserve">и 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Ф.И.О. руководителя,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Количество листов согласно описи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30"/>
              <w:ind w:right="34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Подпись участника отбора (представителя)</w:t>
            </w:r>
            <w:r/>
          </w:p>
          <w:p>
            <w:pPr>
              <w:pStyle w:val="901"/>
              <w:ind w:right="317" w:firstLine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r>
            <w:r/>
          </w:p>
          <w:p>
            <w:pPr>
              <w:pStyle w:val="930"/>
              <w:ind w:right="1332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930"/>
              <w:ind w:right="34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Подпись должностного лица, ответственного за прием документов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58" w:type="dxa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Отметка </w:t>
            </w:r>
            <w:r/>
          </w:p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о принятом решении (отказано/выдано), №, дата приказа</w:t>
            </w:r>
            <w:r/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30"/>
              <w:jc w:val="center"/>
              <w:rPr>
                <w:bCs/>
              </w:rPr>
            </w:pPr>
            <w:r>
              <w:rPr>
                <w:b/>
                <w:shd w:val="clear" w:color="auto" w:fill="ffffff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58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b/>
                <w:shd w:val="clear" w:color="auto" w:fill="ffffff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92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58" w:type="dxa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</w:tbl>
    <w:p>
      <w:pPr>
        <w:pStyle w:val="901"/>
        <w:ind w:firstLine="0"/>
        <w:jc w:val="both"/>
        <w:tabs>
          <w:tab w:val="left" w:pos="37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Style w:val="750"/>
        <w:tblW w:w="14567" w:type="dxa"/>
        <w:tblInd w:w="56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080"/>
        <w:gridCol w:w="155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Министр экономического развития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 промышленности Белгородской области</w:t>
            </w:r>
            <w:r/>
          </w:p>
        </w:tc>
        <w:tc>
          <w:tcPr>
            <w:tcBorders>
              <w:left w:val="none" w:color="000000" w:sz="4" w:space="0"/>
            </w:tcBorders>
            <w:tcW w:w="8080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1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М.С. Гусев</w:t>
            </w:r>
            <w:r/>
          </w:p>
        </w:tc>
      </w:tr>
    </w:tbl>
    <w:p>
      <w:pPr>
        <w:pStyle w:val="90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10"/>
          <w:headerReference w:type="even" r:id="rId11"/>
          <w:footnotePr/>
          <w:endnotePr/>
          <w:type w:val="nextPage"/>
          <w:pgSz w:w="16837" w:h="11905" w:orient="landscape"/>
          <w:pgMar w:top="1701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01"/>
        <w:ind w:firstLine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5" w:h="16837" w:orient="portrait"/>
      <w:pgMar w:top="1134" w:right="567" w:bottom="992" w:left="1701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4-02-05T14:13:00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Требования не соответствуют порядку и 1782!</w:t>
      </w:r>
    </w:p>
  </w:comment>
  <w:comment w:id="1" w:author="User" w:date="2024-02-05T17:36:00Z" w:initials="U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исправлено</w:t>
      </w:r>
    </w:p>
  </w:comment>
  <w:comment w:id="2" w:author="User" w:date="2024-02-05T17:24:00Z" w:initials="U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Этот пункт был удален!!! Зачем ьы его снова вставила, ИРА!!!!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6DB0713"/>
  <w16cid:commentId w16cid:paraId="00000002" w16cid:durableId="3694EAAC"/>
  <w16cid:commentId w16cid:paraId="00000003" w16cid:durableId="445EB7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Verdana">
    <w:panose1 w:val="020B0604030504040204"/>
  </w:font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37</w:t>
    </w:r>
    <w:r>
      <w:fldChar w:fldCharType="end"/>
    </w:r>
    <w:r/>
  </w:p>
  <w:p>
    <w:pPr>
      <w:pStyle w:val="7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table" w:styleId="49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8" w:default="1">
    <w:name w:val="Normal"/>
    <w:qFormat/>
  </w:style>
  <w:style w:type="paragraph" w:styleId="689">
    <w:name w:val="Heading 1"/>
    <w:basedOn w:val="688"/>
    <w:next w:val="688"/>
    <w:link w:val="702"/>
    <w:uiPriority w:val="9"/>
    <w:qFormat/>
    <w:pPr>
      <w:keepLines/>
      <w:keepNext/>
      <w:spacing w:before="480" w:after="200"/>
      <w:outlineLvl w:val="0"/>
    </w:pPr>
    <w:rPr>
      <w:rFonts w:ascii="Arial"/>
      <w:sz w:val="40"/>
      <w:szCs w:val="40"/>
    </w:rPr>
  </w:style>
  <w:style w:type="paragraph" w:styleId="690">
    <w:name w:val="Heading 2"/>
    <w:basedOn w:val="688"/>
    <w:next w:val="68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/>
      <w:sz w:val="34"/>
    </w:rPr>
  </w:style>
  <w:style w:type="paragraph" w:styleId="691">
    <w:name w:val="Heading 3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/>
      <w:sz w:val="30"/>
      <w:szCs w:val="30"/>
    </w:rPr>
  </w:style>
  <w:style w:type="paragraph" w:styleId="692">
    <w:name w:val="Heading 4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styleId="693">
    <w:name w:val="Heading 5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styleId="694">
    <w:name w:val="Heading 6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/>
      <w:b/>
      <w:bCs/>
      <w:sz w:val="22"/>
    </w:rPr>
  </w:style>
  <w:style w:type="paragraph" w:styleId="695">
    <w:name w:val="Heading 7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styleId="696">
    <w:name w:val="Heading 8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/>
      <w:i/>
      <w:iCs/>
      <w:sz w:val="22"/>
    </w:rPr>
  </w:style>
  <w:style w:type="paragraph" w:styleId="697">
    <w:name w:val="Heading 9"/>
    <w:basedOn w:val="688"/>
    <w:next w:val="688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Заголовок 1 Знак1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1"/>
    <w:basedOn w:val="698"/>
    <w:link w:val="690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1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1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1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1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1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1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1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8"/>
    <w:uiPriority w:val="10"/>
    <w:rPr>
      <w:sz w:val="48"/>
      <w:szCs w:val="48"/>
    </w:rPr>
  </w:style>
  <w:style w:type="character" w:styleId="712" w:customStyle="1">
    <w:name w:val="Subtitle Char"/>
    <w:basedOn w:val="698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Endnote Text Char"/>
    <w:uiPriority w:val="99"/>
    <w:rPr>
      <w:sz w:val="20"/>
    </w:rPr>
  </w:style>
  <w:style w:type="paragraph" w:styleId="716" w:customStyle="1">
    <w:name w:val="Заголовок 11"/>
    <w:basedOn w:val="688"/>
    <w:next w:val="688"/>
    <w:link w:val="725"/>
    <w:qFormat/>
    <w:pPr>
      <w:keepNext/>
      <w:outlineLvl w:val="0"/>
    </w:pPr>
    <w:rPr>
      <w:sz w:val="24"/>
    </w:rPr>
  </w:style>
  <w:style w:type="paragraph" w:styleId="717" w:customStyle="1">
    <w:name w:val="Заголовок 21"/>
    <w:basedOn w:val="688"/>
    <w:next w:val="688"/>
    <w:link w:val="726"/>
    <w:qFormat/>
    <w:pPr>
      <w:keepNext/>
      <w:outlineLvl w:val="1"/>
    </w:pPr>
    <w:rPr>
      <w:sz w:val="28"/>
    </w:rPr>
  </w:style>
  <w:style w:type="paragraph" w:styleId="718" w:customStyle="1">
    <w:name w:val="Заголовок 31"/>
    <w:basedOn w:val="688"/>
    <w:next w:val="688"/>
    <w:link w:val="727"/>
    <w:qFormat/>
    <w:pPr>
      <w:ind w:left="567"/>
      <w:keepNext/>
      <w:spacing w:line="360" w:lineRule="auto"/>
      <w:outlineLvl w:val="2"/>
    </w:pPr>
    <w:rPr>
      <w:sz w:val="28"/>
    </w:rPr>
  </w:style>
  <w:style w:type="paragraph" w:styleId="719" w:customStyle="1">
    <w:name w:val="Заголовок 41"/>
    <w:basedOn w:val="688"/>
    <w:next w:val="688"/>
    <w:link w:val="728"/>
    <w:qFormat/>
    <w:pPr>
      <w:jc w:val="center"/>
      <w:keepNext/>
      <w:outlineLvl w:val="3"/>
    </w:pPr>
    <w:rPr>
      <w:sz w:val="28"/>
    </w:rPr>
  </w:style>
  <w:style w:type="paragraph" w:styleId="720" w:customStyle="1">
    <w:name w:val="Заголовок 51"/>
    <w:basedOn w:val="688"/>
    <w:next w:val="688"/>
    <w:link w:val="729"/>
    <w:qFormat/>
    <w:pPr>
      <w:jc w:val="both"/>
      <w:keepNext/>
      <w:outlineLvl w:val="4"/>
    </w:pPr>
    <w:rPr>
      <w:sz w:val="28"/>
      <w:u w:val="single"/>
    </w:rPr>
  </w:style>
  <w:style w:type="paragraph" w:styleId="721" w:customStyle="1">
    <w:name w:val="Заголовок 61"/>
    <w:basedOn w:val="688"/>
    <w:next w:val="688"/>
    <w:link w:val="730"/>
    <w:qFormat/>
    <w:pPr>
      <w:jc w:val="both"/>
      <w:keepNext/>
      <w:outlineLvl w:val="5"/>
    </w:pPr>
    <w:rPr>
      <w:sz w:val="28"/>
    </w:rPr>
  </w:style>
  <w:style w:type="paragraph" w:styleId="722" w:customStyle="1">
    <w:name w:val="Заголовок 71"/>
    <w:basedOn w:val="688"/>
    <w:next w:val="688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styleId="723" w:customStyle="1">
    <w:name w:val="Заголовок 81"/>
    <w:basedOn w:val="688"/>
    <w:next w:val="688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/>
      <w:i/>
      <w:iCs/>
      <w:sz w:val="22"/>
    </w:rPr>
  </w:style>
  <w:style w:type="paragraph" w:styleId="724" w:customStyle="1">
    <w:name w:val="Заголовок 91"/>
    <w:basedOn w:val="688"/>
    <w:next w:val="688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styleId="725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lang w:eastAsia="en-US"/>
    </w:rPr>
  </w:style>
  <w:style w:type="paragraph" w:styleId="735">
    <w:name w:val="No Spacing"/>
    <w:uiPriority w:val="1"/>
    <w:qFormat/>
    <w:pPr>
      <w:widowControl w:val="off"/>
    </w:pPr>
  </w:style>
  <w:style w:type="paragraph" w:styleId="736">
    <w:name w:val="Title"/>
    <w:basedOn w:val="688"/>
    <w:next w:val="688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688"/>
    <w:next w:val="688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88"/>
    <w:next w:val="688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88"/>
    <w:next w:val="688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Верхний колонтитул1"/>
    <w:basedOn w:val="688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745" w:customStyle="1">
    <w:name w:val="Header Char"/>
    <w:uiPriority w:val="99"/>
  </w:style>
  <w:style w:type="paragraph" w:styleId="746" w:customStyle="1">
    <w:name w:val="Нижний колонтитул1"/>
    <w:basedOn w:val="688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747" w:customStyle="1">
    <w:name w:val="Footer Char"/>
    <w:uiPriority w:val="99"/>
  </w:style>
  <w:style w:type="paragraph" w:styleId="748" w:customStyle="1">
    <w:name w:val="Название объекта1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699"/>
    <w:uiPriority w:val="59"/>
    <w:tblPr/>
  </w:style>
  <w:style w:type="table" w:styleId="75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88"/>
    <w:link w:val="913"/>
    <w:uiPriority w:val="99"/>
    <w:unhideWhenUsed/>
    <w:pPr>
      <w:jc w:val="center"/>
    </w:pPr>
    <w:rPr>
      <w:rFonts w:ascii="Calibri" w:hAnsi="Calibri" w:eastAsia="Calibri"/>
      <w:lang w:eastAsia="en-US"/>
    </w:rPr>
  </w:style>
  <w:style w:type="character" w:styleId="878" w:customStyle="1">
    <w:name w:val="Footnote Text Char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88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88"/>
    <w:next w:val="688"/>
    <w:uiPriority w:val="39"/>
    <w:unhideWhenUsed/>
    <w:pPr>
      <w:spacing w:after="57"/>
    </w:pPr>
  </w:style>
  <w:style w:type="paragraph" w:styleId="884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85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86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87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8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9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90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91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  <w:rPr>
      <w:lang w:eastAsia="zh-CN"/>
    </w:rPr>
  </w:style>
  <w:style w:type="paragraph" w:styleId="893">
    <w:name w:val="table of figures"/>
    <w:basedOn w:val="688"/>
    <w:next w:val="688"/>
    <w:uiPriority w:val="99"/>
    <w:unhideWhenUsed/>
  </w:style>
  <w:style w:type="paragraph" w:styleId="894">
    <w:name w:val="Body Text"/>
    <w:basedOn w:val="688"/>
    <w:link w:val="902"/>
    <w:pPr>
      <w:jc w:val="both"/>
    </w:pPr>
    <w:rPr>
      <w:sz w:val="24"/>
      <w:lang w:val="en-US" w:eastAsia="en-US"/>
    </w:rPr>
  </w:style>
  <w:style w:type="paragraph" w:styleId="895">
    <w:name w:val="Body Text 2"/>
    <w:basedOn w:val="688"/>
    <w:pPr>
      <w:jc w:val="both"/>
    </w:pPr>
    <w:rPr>
      <w:sz w:val="28"/>
    </w:rPr>
  </w:style>
  <w:style w:type="paragraph" w:styleId="896">
    <w:name w:val="Body Text 3"/>
    <w:basedOn w:val="688"/>
    <w:link w:val="914"/>
    <w:rPr>
      <w:sz w:val="28"/>
    </w:rPr>
  </w:style>
  <w:style w:type="character" w:styleId="897">
    <w:name w:val="page number"/>
    <w:basedOn w:val="698"/>
  </w:style>
  <w:style w:type="paragraph" w:styleId="898">
    <w:name w:val="Body Text Indent"/>
    <w:basedOn w:val="688"/>
    <w:pPr>
      <w:ind w:firstLine="720"/>
    </w:pPr>
    <w:rPr>
      <w:sz w:val="28"/>
    </w:rPr>
  </w:style>
  <w:style w:type="paragraph" w:styleId="899">
    <w:name w:val="Balloon Text"/>
    <w:basedOn w:val="688"/>
    <w:semiHidden/>
    <w:rPr>
      <w:rFonts w:ascii="Tahoma" w:hAnsi="Tahoma" w:cs="Tahoma"/>
      <w:sz w:val="16"/>
      <w:szCs w:val="16"/>
    </w:rPr>
  </w:style>
  <w:style w:type="paragraph" w:styleId="900" w:customStyle="1">
    <w:name w:val="ConsPlusCell"/>
    <w:uiPriority w:val="99"/>
    <w:rPr>
      <w:sz w:val="26"/>
      <w:szCs w:val="26"/>
    </w:rPr>
  </w:style>
  <w:style w:type="paragraph" w:styleId="901" w:customStyle="1">
    <w:name w:val="ConsPlusNormal"/>
    <w:qFormat/>
    <w:pPr>
      <w:ind w:firstLine="720"/>
      <w:widowControl w:val="off"/>
    </w:pPr>
    <w:rPr>
      <w:rFonts w:ascii="Arial"/>
    </w:rPr>
  </w:style>
  <w:style w:type="character" w:styleId="902" w:customStyle="1">
    <w:name w:val="Основной текст Знак"/>
    <w:link w:val="894"/>
    <w:rPr>
      <w:sz w:val="24"/>
    </w:rPr>
  </w:style>
  <w:style w:type="paragraph" w:styleId="903">
    <w:name w:val="Plain Text"/>
    <w:basedOn w:val="688"/>
    <w:link w:val="904"/>
    <w:uiPriority w:val="99"/>
    <w:unhideWhenUsed/>
    <w:rPr>
      <w:rFonts w:ascii="Calibri" w:hAnsi="Calibri" w:eastAsia="Calibri"/>
      <w:sz w:val="22"/>
      <w:szCs w:val="21"/>
      <w:lang w:val="en-US" w:eastAsia="en-US"/>
    </w:rPr>
  </w:style>
  <w:style w:type="character" w:styleId="904" w:customStyle="1">
    <w:name w:val="Текст Знак"/>
    <w:link w:val="903"/>
    <w:uiPriority w:val="99"/>
    <w:rPr>
      <w:rFonts w:ascii="Calibri" w:hAnsi="Calibri" w:eastAsia="Calibri"/>
      <w:sz w:val="22"/>
      <w:szCs w:val="21"/>
      <w:lang w:eastAsia="en-US"/>
    </w:rPr>
  </w:style>
  <w:style w:type="character" w:styleId="905" w:customStyle="1">
    <w:name w:val="Верхний колонтитул Знак"/>
    <w:link w:val="744"/>
    <w:uiPriority w:val="99"/>
  </w:style>
  <w:style w:type="character" w:styleId="906" w:customStyle="1">
    <w:name w:val="Основной текст (2)_"/>
    <w:link w:val="907"/>
    <w:rPr>
      <w:b/>
      <w:bCs/>
      <w:shd w:val="clear" w:color="auto" w:fill="ffffff"/>
    </w:rPr>
  </w:style>
  <w:style w:type="paragraph" w:styleId="907" w:customStyle="1">
    <w:name w:val="Основной текст (2)"/>
    <w:basedOn w:val="688"/>
    <w:link w:val="906"/>
    <w:pPr>
      <w:jc w:val="center"/>
      <w:spacing w:line="298" w:lineRule="exact"/>
      <w:shd w:val="clear" w:color="auto" w:fill="ffffff"/>
      <w:widowControl w:val="off"/>
    </w:pPr>
    <w:rPr>
      <w:b/>
      <w:bCs/>
    </w:rPr>
  </w:style>
  <w:style w:type="paragraph" w:styleId="90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9">
    <w:name w:val="Normal (Web)"/>
    <w:basedOn w:val="68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0" w:customStyle="1">
    <w:name w:val="western"/>
    <w:basedOn w:val="688"/>
    <w:pPr>
      <w:spacing w:before="100" w:beforeAutospacing="1" w:after="100" w:afterAutospacing="1"/>
    </w:pPr>
    <w:rPr>
      <w:sz w:val="24"/>
      <w:szCs w:val="24"/>
    </w:rPr>
  </w:style>
  <w:style w:type="paragraph" w:styleId="911" w:customStyle="1">
    <w:name w:val="Знак"/>
    <w:basedOn w:val="688"/>
    <w:pPr>
      <w:spacing w:after="160" w:line="240" w:lineRule="exact"/>
    </w:pPr>
    <w:rPr>
      <w:rFonts w:ascii="Verdana" w:hAnsi="Verdana"/>
      <w:lang w:val="en-US" w:eastAsia="en-US"/>
    </w:rPr>
  </w:style>
  <w:style w:type="character" w:styleId="912" w:customStyle="1">
    <w:name w:val="apple-converted-space"/>
  </w:style>
  <w:style w:type="character" w:styleId="913" w:customStyle="1">
    <w:name w:val="Текст сноски Знак"/>
    <w:link w:val="877"/>
    <w:uiPriority w:val="99"/>
    <w:rPr>
      <w:rFonts w:ascii="Calibri" w:hAnsi="Calibri" w:eastAsia="Calibri"/>
      <w:lang w:eastAsia="en-US"/>
    </w:rPr>
  </w:style>
  <w:style w:type="character" w:styleId="914" w:customStyle="1">
    <w:name w:val="Основной текст 3 Знак"/>
    <w:link w:val="896"/>
    <w:rPr>
      <w:sz w:val="28"/>
    </w:rPr>
  </w:style>
  <w:style w:type="paragraph" w:styleId="915">
    <w:name w:val="HTML Preformatted"/>
    <w:basedOn w:val="688"/>
    <w:link w:val="916"/>
    <w:rPr>
      <w:rFonts w:ascii="Courier New" w:hAnsi="Courier New" w:cs="Courier New"/>
    </w:rPr>
  </w:style>
  <w:style w:type="character" w:styleId="916" w:customStyle="1">
    <w:name w:val="Стандартный HTML Знак"/>
    <w:link w:val="915"/>
    <w:rPr>
      <w:rFonts w:ascii="Courier New" w:hAnsi="Courier New" w:cs="Courier New"/>
    </w:rPr>
  </w:style>
  <w:style w:type="paragraph" w:styleId="917" w:customStyle="1">
    <w:name w:val="ConsPlusTitle"/>
    <w:qFormat/>
    <w:pPr>
      <w:widowControl w:val="off"/>
    </w:pPr>
    <w:rPr>
      <w:rFonts w:ascii="Arial"/>
      <w:b/>
      <w:sz w:val="22"/>
    </w:rPr>
  </w:style>
  <w:style w:type="character" w:styleId="918" w:customStyle="1">
    <w:name w:val="Нижний колонтитул Знак"/>
    <w:link w:val="746"/>
    <w:uiPriority w:val="99"/>
  </w:style>
  <w:style w:type="character" w:styleId="919" w:customStyle="1">
    <w:name w:val="Гипертекстовая ссылка"/>
    <w:uiPriority w:val="99"/>
    <w:rPr>
      <w:color w:val="106bbe"/>
    </w:rPr>
  </w:style>
  <w:style w:type="character" w:styleId="920">
    <w:name w:val="Emphasis"/>
    <w:uiPriority w:val="20"/>
    <w:qFormat/>
    <w:rPr>
      <w:i/>
      <w:iCs/>
    </w:rPr>
  </w:style>
  <w:style w:type="paragraph" w:styleId="921" w:customStyle="1">
    <w:name w:val="Обычный (веб)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22" w:customStyle="1">
    <w:name w:val="Интернет-ссылка"/>
    <w:rPr>
      <w:color w:val="000080"/>
      <w:u w:val="single"/>
    </w:rPr>
  </w:style>
  <w:style w:type="character" w:styleId="923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924">
    <w:name w:val="annotation text"/>
    <w:basedOn w:val="688"/>
    <w:link w:val="925"/>
    <w:uiPriority w:val="99"/>
    <w:semiHidden/>
    <w:unhideWhenUsed/>
  </w:style>
  <w:style w:type="character" w:styleId="925" w:customStyle="1">
    <w:name w:val="Текст примечания Знак"/>
    <w:basedOn w:val="698"/>
    <w:link w:val="924"/>
    <w:uiPriority w:val="99"/>
    <w:semiHidden/>
  </w:style>
  <w:style w:type="paragraph" w:styleId="926">
    <w:name w:val="annotation subject"/>
    <w:basedOn w:val="924"/>
    <w:next w:val="924"/>
    <w:link w:val="927"/>
    <w:uiPriority w:val="99"/>
    <w:semiHidden/>
    <w:unhideWhenUsed/>
    <w:rPr>
      <w:b/>
      <w:bCs/>
    </w:rPr>
  </w:style>
  <w:style w:type="character" w:styleId="927" w:customStyle="1">
    <w:name w:val="Тема примечания Знак"/>
    <w:basedOn w:val="925"/>
    <w:link w:val="926"/>
    <w:uiPriority w:val="99"/>
    <w:semiHidden/>
    <w:rPr>
      <w:b/>
      <w:bCs/>
    </w:rPr>
  </w:style>
  <w:style w:type="paragraph" w:styleId="928" w:customStyle="1">
    <w:name w:val="Standard"/>
    <w:rPr>
      <w:rFonts w:hAnsi="Times New Roman" w:eastAsia="Times New Roman" w:cs="Times New Roman"/>
      <w:szCs w:val="20"/>
    </w:rPr>
  </w:style>
  <w:style w:type="paragraph" w:styleId="929" w:customStyle="1">
    <w:name w:val="DStyle_paragraph"/>
    <w:basedOn w:val="688"/>
    <w:qFormat/>
    <w:rPr>
      <w:rFonts w:hAnsi="Times New Roman" w:eastAsia="Times New Roman" w:cs="Times New Roman"/>
      <w:color w:val="000000"/>
      <w:szCs w:val="20"/>
    </w:rPr>
  </w:style>
  <w:style w:type="paragraph" w:styleId="930" w:customStyle="1">
    <w:name w:val="Standard (user)"/>
    <w:basedOn w:val="9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paragraph" w:styleId="931" w:customStyle="1">
    <w:name w:val="Верхний колонтитул2"/>
    <w:basedOn w:val="928"/>
    <w:qFormat/>
    <w:pPr>
      <w:tabs>
        <w:tab w:val="center" w:pos="4675" w:leader="none"/>
        <w:tab w:val="right" w:pos="9353" w:leader="none"/>
      </w:tabs>
    </w:pPr>
    <w:rPr>
      <w:color w:val="000000"/>
    </w:rPr>
  </w:style>
  <w:style w:type="paragraph" w:styleId="932">
    <w:name w:val="Header"/>
    <w:basedOn w:val="688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1"/>
    <w:basedOn w:val="698"/>
    <w:link w:val="932"/>
    <w:uiPriority w:val="99"/>
  </w:style>
  <w:style w:type="paragraph" w:styleId="934">
    <w:name w:val="Footer"/>
    <w:basedOn w:val="688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1"/>
    <w:basedOn w:val="698"/>
    <w:link w:val="93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https://login.consultant.ru/link/?req=doc&amp;base=LAW&amp;n=483130&amp;dst=5769" TargetMode="External"/><Relationship Id="rId13" Type="http://schemas.openxmlformats.org/officeDocument/2006/relationships/hyperlink" Target="https://ru.wikipedia.org/wiki/%D0%93%D0%BE%D1%81%D1%83%D0%B4%D0%B0%D1%80%D1%81%D1%82%D0%B2%D0%B5%D0%BD%D0%BD%D1%8B%D0%B9_%D0%B1%D1%8E%D0%B4%D0%B6%D0%B5%D1%82" TargetMode="External"/><Relationship Id="rId14" Type="http://schemas.openxmlformats.org/officeDocument/2006/relationships/hyperlink" Target="https://login.consultant.ru/link/?req=doc&amp;base=LAW&amp;n=491830&amp;dst=38" TargetMode="External"/><Relationship Id="rId15" Type="http://schemas.openxmlformats.org/officeDocument/2006/relationships/hyperlink" Target="https://login.consultant.ru/link/?req=doc&amp;base=LAW&amp;n=491830&amp;dst=100121" TargetMode="External"/><Relationship Id="rId16" Type="http://schemas.openxmlformats.org/officeDocument/2006/relationships/hyperlink" Target="https://login.consultant.ru/link/?req=doc&amp;base=LAW&amp;n=454097" TargetMode="External"/><Relationship Id="rId17" Type="http://schemas.openxmlformats.org/officeDocument/2006/relationships/hyperlink" Target="https://login.consultant.ru/link/?req=doc&amp;base=RZR&amp;n=41168&amp;dst=103308" TargetMode="External"/><Relationship Id="rId18" Type="http://schemas.openxmlformats.org/officeDocument/2006/relationships/hyperlink" Target="https://login.consultant.ru/link/?req=doc&amp;base=RZR&amp;n=41168&amp;dst=103308" TargetMode="External"/><Relationship Id="rId19" Type="http://schemas.openxmlformats.org/officeDocument/2006/relationships/hyperlink" Target="https://login.consultant.ru/link/?req=doc&amp;base=LAW&amp;n=452991&amp;dst=101922" TargetMode="External"/><Relationship Id="rId20" Type="http://schemas.onlyoffice.com/commentsDocument" Target="commentsDocument.xml" /><Relationship Id="rId21" Type="http://schemas.onlyoffice.com/commentsExtendedDocument" Target="commentsExtendedDocument.xml" /><Relationship Id="rId22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размера</dc:title>
  <dc:creator>User</dc:creator>
  <cp:revision>6</cp:revision>
  <dcterms:created xsi:type="dcterms:W3CDTF">2025-08-18T07:57:00Z</dcterms:created>
  <dcterms:modified xsi:type="dcterms:W3CDTF">2025-08-19T06:54:51Z</dcterms:modified>
  <cp:version>917504</cp:version>
</cp:coreProperties>
</file>