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D8" w:rsidRDefault="00D557D8">
      <w:pPr>
        <w:spacing w:line="276" w:lineRule="auto"/>
        <w:jc w:val="center"/>
        <w:rPr>
          <w:b/>
          <w:bCs/>
          <w:sz w:val="26"/>
          <w:szCs w:val="26"/>
        </w:rPr>
      </w:pPr>
    </w:p>
    <w:p w:rsidR="00D557D8" w:rsidRDefault="000B07B0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Подведены итоги проведения оценки регулирующего воздействия </w:t>
      </w:r>
    </w:p>
    <w:p w:rsidR="00D557D8" w:rsidRDefault="000B07B0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в Белгородской области за 9 месяцев 2024 года.</w:t>
      </w:r>
    </w:p>
    <w:p w:rsidR="00D557D8" w:rsidRDefault="00D557D8">
      <w:pPr>
        <w:spacing w:line="276" w:lineRule="auto"/>
        <w:rPr>
          <w:b/>
          <w:sz w:val="26"/>
          <w:szCs w:val="26"/>
        </w:rPr>
      </w:pPr>
    </w:p>
    <w:p w:rsidR="00D557D8" w:rsidRDefault="000B07B0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Министерством экономического развития и промышленности Белгородской области подведены итоги </w:t>
      </w:r>
      <w:r>
        <w:rPr>
          <w:sz w:val="26"/>
          <w:szCs w:val="26"/>
        </w:rPr>
        <w:t>проведения процедуры оценки регулирующего воздействия (далее – ОРВ) в Белгородской области за 9 месяцев 2024 года.</w:t>
      </w:r>
    </w:p>
    <w:p w:rsidR="00D557D8" w:rsidRDefault="000B07B0">
      <w:pPr>
        <w:ind w:left="-567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Оценка регулирующего воздействия</w:t>
      </w:r>
      <w:r>
        <w:rPr>
          <w:rFonts w:eastAsia="Calibri"/>
          <w:sz w:val="26"/>
          <w:szCs w:val="26"/>
          <w:lang w:eastAsia="en-US"/>
        </w:rPr>
        <w:t xml:space="preserve"> за указанный период</w:t>
      </w:r>
      <w:r>
        <w:rPr>
          <w:rFonts w:eastAsia="Calibri"/>
          <w:sz w:val="26"/>
          <w:szCs w:val="26"/>
          <w:lang w:eastAsia="en-US"/>
        </w:rPr>
        <w:t xml:space="preserve"> проведена </w:t>
      </w:r>
      <w:r>
        <w:rPr>
          <w:rFonts w:eastAsia="Calibri"/>
          <w:sz w:val="26"/>
          <w:szCs w:val="26"/>
          <w:lang w:eastAsia="en-US"/>
        </w:rPr>
        <w:br/>
        <w:t>по 23 проектам нормативных правовых актов области, подготовлено 4 экспертны</w:t>
      </w:r>
      <w:r>
        <w:rPr>
          <w:rFonts w:eastAsia="Calibri"/>
          <w:sz w:val="26"/>
          <w:szCs w:val="26"/>
          <w:lang w:eastAsia="en-US"/>
        </w:rPr>
        <w:t>х заключения и 4 заключения об оценке фактического воздействия по действующим нормативным правовым актам.</w:t>
      </w:r>
    </w:p>
    <w:p w:rsidR="00D557D8" w:rsidRDefault="000B07B0">
      <w:pPr>
        <w:ind w:left="-567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При подготовке уполномоченным органом </w:t>
      </w:r>
      <w:r>
        <w:rPr>
          <w:sz w:val="26"/>
          <w:szCs w:val="26"/>
        </w:rPr>
        <w:t xml:space="preserve">заключения об ОРВ, дополнительные публичные консультации проведены по 5 проектам </w:t>
      </w:r>
      <w:r>
        <w:rPr>
          <w:rFonts w:eastAsia="Calibri"/>
          <w:sz w:val="26"/>
          <w:szCs w:val="26"/>
          <w:lang w:eastAsia="en-US"/>
        </w:rPr>
        <w:t>нормативных правовых акто</w:t>
      </w:r>
      <w:r>
        <w:rPr>
          <w:sz w:val="26"/>
          <w:szCs w:val="26"/>
        </w:rPr>
        <w:t>в. Орг</w:t>
      </w:r>
      <w:r>
        <w:rPr>
          <w:sz w:val="26"/>
          <w:szCs w:val="26"/>
        </w:rPr>
        <w:t>анизовано 2 заседания рабочей группы по оценке регулирующего воздействия.</w:t>
      </w:r>
    </w:p>
    <w:p w:rsidR="00D557D8" w:rsidRDefault="000B07B0">
      <w:pPr>
        <w:spacing w:line="276" w:lineRule="auto"/>
        <w:ind w:left="-567"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По итогам проведенной оценки регулирующего воздействия в 2 </w:t>
      </w:r>
      <w:r>
        <w:rPr>
          <w:rFonts w:eastAsia="Calibri"/>
          <w:sz w:val="26"/>
          <w:szCs w:val="26"/>
          <w:lang w:eastAsia="en-US"/>
        </w:rPr>
        <w:t>проекта нормативных правовых актов внесены корректировки после подготовки уполномоченным органом – министерством экономиче</w:t>
      </w:r>
      <w:r>
        <w:rPr>
          <w:rFonts w:eastAsia="Calibri"/>
          <w:sz w:val="26"/>
          <w:szCs w:val="26"/>
          <w:lang w:eastAsia="en-US"/>
        </w:rPr>
        <w:t xml:space="preserve">ского развития </w:t>
      </w:r>
      <w:r w:rsidR="00847FC8">
        <w:rPr>
          <w:rFonts w:eastAsia="Calibri"/>
          <w:sz w:val="26"/>
          <w:szCs w:val="26"/>
          <w:lang w:eastAsia="en-US"/>
        </w:rPr>
        <w:br/>
      </w:r>
      <w:r>
        <w:rPr>
          <w:rFonts w:eastAsia="Calibri"/>
          <w:sz w:val="26"/>
          <w:szCs w:val="26"/>
          <w:lang w:eastAsia="en-US"/>
        </w:rPr>
        <w:t>и промышленности области – заключения об ОРВ с выводом о необходимости внесения изменений в проект нормативного акта.</w:t>
      </w:r>
    </w:p>
    <w:p w:rsidR="00D557D8" w:rsidRDefault="000B07B0">
      <w:pPr>
        <w:ind w:left="-567"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 итогам экспертизы и оценки фактического воздействия действующих НПА сделаны выводы о необходимости отмены, либо внесени</w:t>
      </w:r>
      <w:r>
        <w:rPr>
          <w:rFonts w:eastAsia="Calibri"/>
          <w:sz w:val="26"/>
          <w:szCs w:val="26"/>
          <w:lang w:eastAsia="en-US"/>
        </w:rPr>
        <w:t>и изменений по 5 нормативным актам из 8 рассмотренных.</w:t>
      </w:r>
    </w:p>
    <w:p w:rsidR="00D557D8" w:rsidRDefault="000B07B0">
      <w:pPr>
        <w:spacing w:line="276" w:lineRule="auto"/>
        <w:ind w:left="-567"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Кроме того, экспертами области принято участие в ОРВ по более 80 проектам федеральных нормативных правовых актов. </w:t>
      </w:r>
    </w:p>
    <w:p w:rsidR="00D557D8" w:rsidRDefault="000B07B0">
      <w:pPr>
        <w:ind w:left="-567" w:firstLine="567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 xml:space="preserve">В целях </w:t>
      </w:r>
      <w:r>
        <w:rPr>
          <w:rFonts w:eastAsia="Arial"/>
          <w:color w:val="000000" w:themeColor="text1"/>
          <w:sz w:val="26"/>
          <w:szCs w:val="26"/>
          <w:highlight w:val="white"/>
        </w:rPr>
        <w:t>повышения качества подготовки муниципальных нормативных правовых актов, регули</w:t>
      </w:r>
      <w:r>
        <w:rPr>
          <w:rFonts w:eastAsia="Arial"/>
          <w:color w:val="000000" w:themeColor="text1"/>
          <w:sz w:val="26"/>
          <w:szCs w:val="26"/>
          <w:highlight w:val="white"/>
        </w:rPr>
        <w:t xml:space="preserve">рующих процедуру оценки регулирующего воздействия в мае и июне </w:t>
      </w:r>
      <w:r>
        <w:rPr>
          <w:rFonts w:eastAsia="Arial"/>
          <w:color w:val="000000" w:themeColor="text1"/>
          <w:sz w:val="26"/>
          <w:szCs w:val="26"/>
          <w:highlight w:val="white"/>
        </w:rPr>
        <w:br/>
        <w:t>2024 года</w:t>
      </w:r>
      <w:r>
        <w:rPr>
          <w:rFonts w:eastAsia="Arial"/>
          <w:color w:val="000000" w:themeColor="text1"/>
          <w:sz w:val="26"/>
          <w:szCs w:val="26"/>
        </w:rPr>
        <w:t xml:space="preserve"> </w:t>
      </w:r>
      <w:r>
        <w:rPr>
          <w:rFonts w:eastAsia="Arial"/>
          <w:color w:val="000000" w:themeColor="text1"/>
          <w:sz w:val="26"/>
          <w:szCs w:val="26"/>
        </w:rPr>
        <w:t>проведены корпоративные обучения муниципальных служащих</w:t>
      </w:r>
      <w:bookmarkStart w:id="0" w:name="_GoBack"/>
      <w:bookmarkEnd w:id="0"/>
      <w:r>
        <w:rPr>
          <w:rFonts w:eastAsia="Arial"/>
          <w:color w:val="000000" w:themeColor="text1"/>
          <w:sz w:val="26"/>
          <w:szCs w:val="26"/>
          <w:highlight w:val="white"/>
        </w:rPr>
        <w:t xml:space="preserve">. В семинарах приняли участие 68 </w:t>
      </w:r>
      <w:r>
        <w:rPr>
          <w:rFonts w:eastAsia="Arial"/>
          <w:color w:val="000000" w:themeColor="text1"/>
          <w:sz w:val="26"/>
          <w:szCs w:val="26"/>
        </w:rPr>
        <w:t>сотрудников из 22 муниципальных районов и городских округов области.</w:t>
      </w:r>
    </w:p>
    <w:p w:rsidR="00D557D8" w:rsidRDefault="000B07B0">
      <w:pPr>
        <w:shd w:val="clear" w:color="auto" w:fill="FFFFFF" w:themeFill="background1"/>
        <w:ind w:left="-567" w:right="-31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ОРВ в Белг</w:t>
      </w:r>
      <w:r>
        <w:rPr>
          <w:sz w:val="26"/>
          <w:szCs w:val="26"/>
        </w:rPr>
        <w:t xml:space="preserve">ородской области постоянно размещается </w:t>
      </w:r>
      <w:r>
        <w:rPr>
          <w:sz w:val="26"/>
          <w:szCs w:val="26"/>
        </w:rPr>
        <w:br/>
        <w:t xml:space="preserve">и обновляется на сайтах министерства экономического развития и промышленности Белгородской области </w:t>
      </w:r>
      <w:hyperlink r:id="rId8" w:tooltip="http://minecprom.ru/" w:history="1">
        <w:r>
          <w:rPr>
            <w:rStyle w:val="afa"/>
            <w:sz w:val="26"/>
            <w:szCs w:val="26"/>
          </w:rPr>
          <w:t>http://minecprom.ru/</w:t>
        </w:r>
      </w:hyperlink>
      <w:r>
        <w:rPr>
          <w:sz w:val="26"/>
          <w:szCs w:val="26"/>
        </w:rPr>
        <w:t xml:space="preserve"> и на Инвестиционном портале Белго</w:t>
      </w:r>
      <w:r>
        <w:rPr>
          <w:sz w:val="26"/>
          <w:szCs w:val="26"/>
        </w:rPr>
        <w:t xml:space="preserve">родской области </w:t>
      </w:r>
      <w:hyperlink r:id="rId9" w:tooltip="http://www.belgorodinvest.com" w:history="1">
        <w:r>
          <w:rPr>
            <w:rStyle w:val="afa"/>
            <w:sz w:val="26"/>
            <w:szCs w:val="26"/>
          </w:rPr>
          <w:t>www.belgorodinvest.com</w:t>
        </w:r>
      </w:hyperlink>
      <w:r>
        <w:rPr>
          <w:sz w:val="26"/>
          <w:szCs w:val="26"/>
        </w:rPr>
        <w:t>.</w:t>
      </w:r>
    </w:p>
    <w:p w:rsidR="00D557D8" w:rsidRDefault="00D557D8">
      <w:pPr>
        <w:ind w:left="-567" w:firstLine="709"/>
        <w:jc w:val="both"/>
        <w:rPr>
          <w:rFonts w:eastAsia="Calibri"/>
          <w:sz w:val="26"/>
          <w:szCs w:val="26"/>
        </w:rPr>
      </w:pPr>
    </w:p>
    <w:sectPr w:rsidR="00D557D8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7B0" w:rsidRDefault="000B07B0">
      <w:r>
        <w:separator/>
      </w:r>
    </w:p>
  </w:endnote>
  <w:endnote w:type="continuationSeparator" w:id="0">
    <w:p w:rsidR="000B07B0" w:rsidRDefault="000B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7B0" w:rsidRDefault="000B07B0">
      <w:r>
        <w:separator/>
      </w:r>
    </w:p>
  </w:footnote>
  <w:footnote w:type="continuationSeparator" w:id="0">
    <w:p w:rsidR="000B07B0" w:rsidRDefault="000B0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0BDC"/>
    <w:multiLevelType w:val="hybridMultilevel"/>
    <w:tmpl w:val="59EAE91E"/>
    <w:lvl w:ilvl="0" w:tplc="A3403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B45628">
      <w:start w:val="1"/>
      <w:numFmt w:val="lowerLetter"/>
      <w:lvlText w:val="%2."/>
      <w:lvlJc w:val="left"/>
      <w:pPr>
        <w:ind w:left="1440" w:hanging="360"/>
      </w:pPr>
    </w:lvl>
    <w:lvl w:ilvl="2" w:tplc="BB402232">
      <w:start w:val="1"/>
      <w:numFmt w:val="lowerRoman"/>
      <w:lvlText w:val="%3."/>
      <w:lvlJc w:val="right"/>
      <w:pPr>
        <w:ind w:left="2160" w:hanging="180"/>
      </w:pPr>
    </w:lvl>
    <w:lvl w:ilvl="3" w:tplc="6060ADF8">
      <w:start w:val="1"/>
      <w:numFmt w:val="decimal"/>
      <w:lvlText w:val="%4."/>
      <w:lvlJc w:val="left"/>
      <w:pPr>
        <w:ind w:left="2880" w:hanging="360"/>
      </w:pPr>
    </w:lvl>
    <w:lvl w:ilvl="4" w:tplc="7940E85E">
      <w:start w:val="1"/>
      <w:numFmt w:val="lowerLetter"/>
      <w:lvlText w:val="%5."/>
      <w:lvlJc w:val="left"/>
      <w:pPr>
        <w:ind w:left="3600" w:hanging="360"/>
      </w:pPr>
    </w:lvl>
    <w:lvl w:ilvl="5" w:tplc="16702274">
      <w:start w:val="1"/>
      <w:numFmt w:val="lowerRoman"/>
      <w:lvlText w:val="%6."/>
      <w:lvlJc w:val="right"/>
      <w:pPr>
        <w:ind w:left="4320" w:hanging="180"/>
      </w:pPr>
    </w:lvl>
    <w:lvl w:ilvl="6" w:tplc="37AE9320">
      <w:start w:val="1"/>
      <w:numFmt w:val="decimal"/>
      <w:lvlText w:val="%7."/>
      <w:lvlJc w:val="left"/>
      <w:pPr>
        <w:ind w:left="5040" w:hanging="360"/>
      </w:pPr>
    </w:lvl>
    <w:lvl w:ilvl="7" w:tplc="A784FE2C">
      <w:start w:val="1"/>
      <w:numFmt w:val="lowerLetter"/>
      <w:lvlText w:val="%8."/>
      <w:lvlJc w:val="left"/>
      <w:pPr>
        <w:ind w:left="5760" w:hanging="360"/>
      </w:pPr>
    </w:lvl>
    <w:lvl w:ilvl="8" w:tplc="73E0ED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D8"/>
    <w:rsid w:val="000B07B0"/>
    <w:rsid w:val="00847FC8"/>
    <w:rsid w:val="00D5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CD1BD-E1F3-45D6-B12C-2A489658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808080"/>
      <w:shd w:val="clear" w:color="auto" w:fill="E6E6E6"/>
    </w:rPr>
  </w:style>
  <w:style w:type="paragraph" w:styleId="afb">
    <w:name w:val="Block Text"/>
    <w:basedOn w:val="a"/>
    <w:pPr>
      <w:tabs>
        <w:tab w:val="left" w:pos="-426"/>
      </w:tabs>
      <w:ind w:left="-426" w:right="568"/>
      <w:jc w:val="both"/>
    </w:pPr>
    <w:rPr>
      <w:sz w:val="26"/>
    </w:rPr>
  </w:style>
  <w:style w:type="paragraph" w:styleId="25">
    <w:name w:val="Body Text Indent 2"/>
    <w:basedOn w:val="a"/>
    <w:link w:val="26"/>
    <w:pPr>
      <w:ind w:left="720" w:firstLine="720"/>
      <w:jc w:val="both"/>
    </w:pPr>
    <w:rPr>
      <w:sz w:val="26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ecpro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gorod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7BBE-1335-4C36-80CA-C41EF2AB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1797</Characters>
  <Application>Microsoft Office Word</Application>
  <DocSecurity>0</DocSecurity>
  <Lines>14</Lines>
  <Paragraphs>4</Paragraphs>
  <ScaleCrop>false</ScaleCrop>
  <Company>Microsoft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Брынцева Елена Анатольевна</cp:lastModifiedBy>
  <cp:revision>47</cp:revision>
  <dcterms:created xsi:type="dcterms:W3CDTF">2023-08-07T12:27:00Z</dcterms:created>
  <dcterms:modified xsi:type="dcterms:W3CDTF">2024-09-26T14:53:00Z</dcterms:modified>
</cp:coreProperties>
</file>