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spacing w:after="0" w:line="240" w:lineRule="auto"/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  <w:outlineLvl w:val="3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  <w:t xml:space="preserve">Вносится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  <w:t xml:space="preserve">Проект</w:t>
      </w:r>
      <w:r/>
    </w:p>
    <w:p>
      <w:pPr>
        <w:ind w:right="140"/>
        <w:spacing w:after="0" w:line="240" w:lineRule="auto"/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r>
      <w:r/>
    </w:p>
    <w:p>
      <w:pPr>
        <w:ind w:right="140"/>
        <w:spacing w:after="0" w:line="240" w:lineRule="auto"/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40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0"/>
          <w:sz w:val="36"/>
          <w:szCs w:val="20"/>
          <w:lang w:eastAsia="ru-RU"/>
        </w:rPr>
        <w:t xml:space="preserve">ЗАКОН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4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0"/>
          <w:sz w:val="16"/>
          <w:szCs w:val="20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БЕЛГОРОДСКОЙ ОБЛАСТИ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highlight w:val="none"/>
          <w:lang w:eastAsia="ru-RU"/>
        </w:rPr>
      </w:r>
      <w:r/>
    </w:p>
    <w:p>
      <w:pPr>
        <w:ind w:left="0" w:right="0" w:firstLine="0"/>
        <w:jc w:val="center"/>
        <w:spacing w:before="0" w:after="0" w:line="288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 В ЗАКОН БЕЛГОРОДСКОЙ ОБЛАСТИ</w:t>
        <w:br/>
        <w:t xml:space="preserve">«О РЕГУЛИРОВАНИИ ОТДЕЛЬНЫХ ВОПРОСОВ В СФЕРЕ РОЗНИЧНОЙ ПРОДАЖИ АЛКОГОЛЬНОЙ ПРОДУКЦИИ»</w:t>
      </w:r>
      <w:r>
        <w:rPr>
          <w:b/>
          <w:bCs/>
          <w:sz w:val="28"/>
          <w:szCs w:val="28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b/>
          <w:bCs/>
          <w:sz w:val="28"/>
          <w:szCs w:val="28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tabs>
          <w:tab w:val="left" w:pos="2096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Внести в закон 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елгородской области от 28 апреля 2016 года № 71</w:t>
        <w:br/>
        <w:t xml:space="preserve">«О регулировании отдельных вопросов в сфере розничной продажи алкогольной продукции» (Белгородские известия, 2016, 5 мая, 9 июля; 2017,</w:t>
        <w:br/>
        <w:t xml:space="preserve">2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екабря; 2020, 12 марта; 2021, 12 марта; 2022, 26 апреля, 17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июня, 30 декабря; 2024, 30 апреля,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июня)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 статье 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за исключением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дополнить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статьей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/>
        <w:ind w:left="2268" w:right="0" w:hanging="156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«Статья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в сфере розничной продажи алкогольной продукции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оказании услуг общественного питания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 в объектах общественного питания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ресторанов), расположенных в многоквартирных домах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/>
        <w:t xml:space="preserve">и (или) на прилегающих к ним территориях,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границы которых определены нормативно-правовыми актами органов местного самоуправления </w:t>
        <w:br/>
        <w:t xml:space="preserve">в соответствии с действующим законодательством Российской Федерации </w:t>
        <w:br/>
        <w:t xml:space="preserve">в области оборота алкогольной и спиртосодержащей продукции, с 22.00 часов до 10.00 часов.»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Статья 2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Настоящий закон вступает в силу с 1 марта 2025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46560362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839"/>
          <w:jc w:val="center"/>
          <w:spacing w:line="283" w:lineRule="atLeas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spacing w:line="283" w:lineRule="atLeas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6"/>
    <w:link w:val="839"/>
    <w:uiPriority w:val="99"/>
  </w:style>
  <w:style w:type="character" w:styleId="688">
    <w:name w:val="Footer Char"/>
    <w:basedOn w:val="836"/>
    <w:link w:val="841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1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Header"/>
    <w:basedOn w:val="835"/>
    <w:link w:val="8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6"/>
    <w:link w:val="839"/>
    <w:uiPriority w:val="99"/>
  </w:style>
  <w:style w:type="paragraph" w:styleId="841">
    <w:name w:val="Footer"/>
    <w:basedOn w:val="835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6"/>
    <w:link w:val="841"/>
    <w:uiPriority w:val="99"/>
  </w:style>
  <w:style w:type="paragraph" w:styleId="843">
    <w:name w:val="Balloon Text"/>
    <w:basedOn w:val="835"/>
    <w:link w:val="8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cs="Tahoma"/>
      <w:sz w:val="16"/>
      <w:szCs w:val="16"/>
    </w:rPr>
  </w:style>
  <w:style w:type="paragraph" w:styleId="845">
    <w:name w:val="List Paragraph"/>
    <w:basedOn w:val="835"/>
    <w:uiPriority w:val="34"/>
    <w:qFormat/>
    <w:pPr>
      <w:contextualSpacing/>
      <w:ind w:left="720"/>
    </w:pPr>
  </w:style>
  <w:style w:type="paragraph" w:styleId="846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4716-3334-4CCB-B0E5-8F9CB41E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Маснева Ольга Михайловна</dc:creator>
  <cp:keywords/>
  <dc:description/>
  <cp:revision>144</cp:revision>
  <dcterms:created xsi:type="dcterms:W3CDTF">2019-05-30T08:58:00Z</dcterms:created>
  <dcterms:modified xsi:type="dcterms:W3CDTF">2024-07-29T12:36:10Z</dcterms:modified>
</cp:coreProperties>
</file>