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развития отраслей сельского хозяйства министерства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ание проекта нормативного правового акта: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 внесении изменений  </w:t>
      </w:r>
      <w:r>
        <w:rPr>
          <w:rFonts w:ascii="Times New Roman" w:hAnsi="Times New Roman" w:eastAsia="Calibri" w:cs="Times New Roman"/>
          <w:sz w:val="26"/>
          <w:szCs w:val="26"/>
        </w:rPr>
        <w:br/>
      </w:r>
      <w:r>
        <w:rPr>
          <w:rFonts w:ascii="Times New Roman" w:hAnsi="Times New Roman" w:eastAsia="Calibri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13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138</w:t>
      </w:r>
      <w:r>
        <w:rPr>
          <w:rFonts w:ascii="Times New Roman" w:hAnsi="Times New Roman" w:cs="Times New Roman"/>
          <w:sz w:val="26"/>
          <w:szCs w:val="26"/>
        </w:rPr>
        <w:t xml:space="preserve">-пп «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утверждении порядков предоставления субсидий из областного бюджета на стимулирование увеличения производства картофеля и овощей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августа 2025 г., окончание «4»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сентября 2025 г.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содержит положения, изменяющие условия предоставления субсидии из областного бюджета сельскохозяйственным</w:t>
      </w:r>
      <w:r>
        <w:rPr>
          <w:rFonts w:ascii="Times New Roman" w:hAnsi="Times New Roman" w:eastAsia="Calibri" w:cs="Times New Roman"/>
          <w:sz w:val="26"/>
          <w:szCs w:val="26"/>
        </w:rPr>
        <w:t xml:space="preserve"> товаропроизводителям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возмещению части затрат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поддержку элитного семеноводства картофеля и (или) овощных культур, включая гибриды овощных культур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<w:br/>
        <w:t xml:space="preserve">и качества почв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поддержку производства картофеля и овощей открытого грунта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производство овощей защищенного грунта собственного производства, произведенных с применением технологии досвечивания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Подгорный Александр Николаевич.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bookmarkStart w:id="1" w:name="_Hlk159860577"/>
      <w:r>
        <w:rPr>
          <w:rFonts w:ascii="Times New Roman" w:hAnsi="Times New Roman" w:eastAsia="Times New Roman" w:cs="Times New Roman"/>
          <w:sz w:val="26"/>
          <w:szCs w:val="26"/>
        </w:rPr>
        <w:t xml:space="preserve">нача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льник отдела развития отраслей растениеводства, мелиорации и механизации департамента развития отраслей сельского хозяйства министерства сельского хозяйства и продовольствия Белгородской области</w:t>
      </w:r>
      <w:bookmarkEnd w:id="1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24-76-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bookmarkStart w:id="2" w:name="_Hlk159860523"/>
      <w:r>
        <w:rPr>
          <w:rFonts w:ascii="Times New Roman" w:hAnsi="Times New Roman" w:cs="Times New Roman"/>
          <w:sz w:val="26"/>
          <w:szCs w:val="26"/>
          <w:lang w:val="en-US"/>
        </w:rPr>
        <w:t xml:space="preserve">podgornyy_an</w:t>
      </w:r>
      <w:r>
        <w:rPr>
          <w:rFonts w:ascii="Times New Roman" w:hAnsi="Times New Roman" w:cs="Times New Roman"/>
          <w:sz w:val="26"/>
          <w:szCs w:val="26"/>
        </w:rPr>
        <w:t xml:space="preserve">@belreg.ru</w:t>
      </w:r>
      <w:bookmarkEnd w:id="2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необходимость упрощения процедуры проведение конкурсного отбора по предоставлению субсидии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из областного бюджета сельскохозяйственным товаропроизводителям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возмещению части затрат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поддержку элитного семеноводства картофеля и (или) овощных культур, включая гибриды овощных культур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<w:br/>
        <w:t xml:space="preserve">и качества почв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поддержку производства картофеля и овощей открытого грунта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производство овощей защищенного грунта собственного производства, произведенных с применением технологии досвечивания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(без очного присутствия в Министерстве при предоставлении заявочной документации, электронное предоставление заявочной документации);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недостаточность собственных средств сельхозтоваропроизводителей на производство овощных культур и картофеля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 Информация о возникновении и выявлении проблемы: мониторинг мер поддержки сельскохозяйственных предприятий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проблемы:</w:t>
      </w:r>
      <w:r/>
    </w:p>
    <w:p>
      <w:pPr>
        <w:ind w:left="0" w:right="0" w:firstLine="709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- низкая обеспеченность овощами открытого грунта и картофелем населения Российской Федерации. Импортозамещение. 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u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</w:t>
      </w:r>
      <w:r/>
    </w:p>
    <w:p>
      <w:pPr>
        <w:ind w:left="0" w:right="0" w:firstLine="709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- Постановление администрации Курской области от 20 декабря 2022 г. </w:t>
        <w:br/>
        <w:t xml:space="preserve">№ 1517-па «Об утверждении Правил предоставления из областного бюджета субсидии на возмещение части затрат на поддержку производства картофеля и овощей открытого грунта»;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left="0" w:right="0" w:firstLine="709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Постановление Правительства Брянской области от 23 декабря 2022 г. №273 «Об утверждении Правил предоставления субсидий за счет средств федерального бюджета и бюджета Тамбовской области на возмещение части затрат на стимулирование увеличения производства ка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ртофеля и овощей в рамках регионального проекта «Развитие отраслей овощеводства и картофелеводства в Тамбовской области».</w:t>
      </w:r>
      <w:r>
        <w:rPr>
          <w:rFonts w:ascii="Times New Roman" w:hAnsi="Times New Roman" w:eastAsia="Times New Roman" w:cs="Times New Roman"/>
          <w:bCs w:val="0"/>
          <w:i w:val="0"/>
          <w:sz w:val="26"/>
          <w:szCs w:val="26"/>
          <w:u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3.Цели вводимого правового регулирования и измеримые показатели 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тимулирование с/х товаропроизводителей на производство овощей и картофеля;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правового акта разработан в соответствии с Постан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овлением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Проектом постановления Правительства Белгородской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области вносятся изменен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ия в порядки предоставления субсидий на стимулирование производства картофеля и овощей в части условий отмены отбора, определения победителей отбора, требований к документации, удостоверяющей сортовые и посадочные качества высаженного посадочного материала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материально-технической базы сельскохозяйственных товаропроизводителей за счёт собственных или заёмных (кредитных) средств: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например, при минимальном размере субсидии в сумме 5 млн. руб. в случае привлечения заемных средств в вышеуказанной сумме (под процентную ставку в размере 5% (в сфере АПК) на 24 месяца переплата товаропроизводителя составит 262, 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среднем размере субсидии в сумме 14,6 млн. руб. в случае привлечения заемных средств в вышеуказанной сумме (под процентную ставку в размере 5%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(</w:t>
      </w:r>
      <w:r>
        <w:rPr>
          <w:rFonts w:ascii="Times New Roman" w:hAnsi="Times New Roman" w:cs="Times New Roman"/>
          <w:sz w:val="26"/>
          <w:szCs w:val="26"/>
        </w:rPr>
        <w:t xml:space="preserve">в сфере АПК)  на 24 месяца  переплата товаропроизводителя составит 766,5 тыс. руб.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получение субсидии для сельскохозяйственных товаропроизводителей является финансово более выгодным, чем привлечение заемных ресурсов.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/>
    </w:p>
    <w:p>
      <w:pPr>
        <w:ind w:left="0" w:right="0" w:firstLine="708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</w:r>
      <w:r>
        <w:rPr>
          <w:rFonts w:ascii="Times New Roman" w:hAnsi="Times New Roman" w:eastAsia="Calibri" w:cs="Times New Roman"/>
          <w:sz w:val="26"/>
          <w:szCs w:val="26"/>
        </w:rPr>
        <w:t xml:space="preserve">Внесение изменений 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13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138</w:t>
      </w:r>
      <w:r>
        <w:rPr>
          <w:rFonts w:ascii="Times New Roman" w:hAnsi="Times New Roman" w:cs="Times New Roman"/>
          <w:sz w:val="26"/>
          <w:szCs w:val="26"/>
        </w:rPr>
        <w:t xml:space="preserve">-пп «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утверждении порядков предоставления субсидий из областного бюджета на стимулирование увеличения производства картофеля и овощей</w:t>
      </w:r>
      <w:r>
        <w:rPr>
          <w:rFonts w:ascii="Times New Roman" w:hAnsi="Times New Roman" w:cs="Times New Roman"/>
          <w:sz w:val="26"/>
          <w:szCs w:val="26"/>
        </w:rPr>
        <w:t xml:space="preserve">» позволит создать оптимальные условия для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компенсации части фактически понесенных затрат сельскохозяйственным товаропроизводителям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, на следующие мероприятия: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left="0" w:right="0" w:firstLine="709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на поддержку элитного семеноводства картофеля и (или) овощных культур;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left="0" w:right="0" w:firstLine="709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почв;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left="0" w:right="0" w:firstLine="709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на поддержку производства картофеля и овощей открытого грунта;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left="0" w:right="0" w:firstLine="709"/>
        <w:jc w:val="both"/>
        <w:spacing w:before="0" w:after="0"/>
        <w:rPr>
          <w:bCs w:val="0"/>
          <w:i w:val="0"/>
          <w:sz w:val="26"/>
          <w:szCs w:val="26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u w:val="none"/>
        </w:rPr>
        <w:t xml:space="preserve">на производство овощей защищенного грунта собственного производства, произведенных с применением технологии досвечивания.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Cs/>
          <w:sz w:val="26"/>
          <w:szCs w:val="26"/>
        </w:rPr>
      </w:pPr>
      <w:r>
        <w:rPr>
          <w:rFonts w:ascii="Times New Roman" w:hAnsi="Times New Roman" w:eastAsia="Calibri" w:cs="Times New Roman"/>
          <w:i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Данное нормативное правовое регулирование позволит снизить финансовую нагрузку на хозяйствующие субъекты.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 ед.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4110"/>
        <w:gridCol w:w="314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Преимущества:</w:t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Возможность получения субсидий на цели и в размере, не предусмотренные действующими программами государственной поддержки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Финансирование в 2025 году будет осуществляться в виде субсидии на об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щую сумму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64 505,1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Общая стоимость требования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0" w:right="0" w:firstLine="0"/>
              <w:jc w:val="center"/>
              <w:spacing w:before="220" w:after="0" w:line="233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195 тыс.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14,5 чел./часов.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* 413,04 руб. * 1,302 коэф. налоговых отчислений * 25 ед.)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Style w:val="844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Обязанности:</w:t>
            </w:r>
            <w:r/>
          </w:p>
          <w:p>
            <w:pPr>
              <w:pStyle w:val="844"/>
              <w:spacing w:before="0" w:beforeAutospacing="0" w:after="0" w:afterAutospacing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 xml:space="preserve"> предоставление пакета документов, необходимых для участия в конкурсном отборе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8" w:type="dxa"/>
            <w:vMerge w:val="continue"/>
            <w:textDirection w:val="lrTb"/>
            <w:noWrap w:val="false"/>
          </w:tcPr>
          <w:p>
            <w:pPr>
              <w:ind w:right="57" w:firstLine="709"/>
              <w:spacing w:after="0" w:line="240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435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сельскохозяйственным товаропроизводителям </w:t>
            </w:r>
            <w:r/>
          </w:p>
        </w:tc>
        <w:tc>
          <w:tcPr>
            <w:tcW w:w="34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в 2025 году будет осуществляться в виде субсидии на общую сумму                     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64 505,1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руб. 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1"/>
        <w:gridCol w:w="38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Отсутствие заявок на участие в конкурсном отборе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tabs>
                <w:tab w:val="left" w:pos="95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Мониторинг количества поданных заявок</w:t>
            </w:r>
            <w:r>
              <w:t xml:space="preserve">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Информирование населения о мерах поддержки.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845"/>
              <w:ind w:left="142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агроклиматических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гидрологических условий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0" w:type="dxa"/>
            <w:vAlign w:val="center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Проведение обучающих семинаров. Информирование населения о мерах поддержки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276"/>
        <w:gridCol w:w="13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-32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финансиро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официальном сайте департамента (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belapk.ru )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Мониторинг предоставленной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 из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областного бюджета сельскохозяйственным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товаропроизводителям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возмещению части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поддержку элитного семеноводства картофеля и (или) овощных культур, включая гибриды овощных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  <w:br/>
              <w:t xml:space="preserve">и качества почв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поддержку производства картофеля и овощей открытого грунта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производство овощей защищенного грунта собственного производства, произведенных с применением технологии досвечивания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right="117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27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Предоставление субсидии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2126"/>
        <w:gridCol w:w="2126"/>
      </w:tblGrid>
      <w:tr>
        <w:trPr>
          <w:trHeight w:val="16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6" w:right="-103" w:firstLine="106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Коли-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чествнное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>
          <w:trHeight w:val="28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1. К декабрю 2025 года оказание финансовой поддержки не менее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/>
              <w:t xml:space="preserve">чем двум сельскохозяйственным това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ропроизводителям.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Финансирование на предоставление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субсидии из областного бюджета сельскохозяйств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енным товаропроизводителям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возмещению части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поддержку элитного семеноводства картофеля и (или) овощных культур, включая гибриды овощных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  <w:br/>
              <w:t xml:space="preserve">и качества почв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поддержку производства картофеля и овощей открытого грунта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производство овощей защищенного грунта собственного производства, произведенных с применением технологии досвечивания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сельскохозяйственных товаропроизводителей</w:t>
            </w:r>
            <w:r/>
          </w:p>
          <w:p>
            <w:pPr>
              <w:ind w:left="36"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ind w:right="37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Декабрь 2025 года</w:t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3 квартал 2025 года.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56"/>
        <w:gridCol w:w="1357"/>
        <w:gridCol w:w="448"/>
        <w:gridCol w:w="448"/>
        <w:gridCol w:w="1783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Заместитель министра области – начальник департамента развития отраслей сельского хозяйства министерства сельского хозяйства и продовольствия Белгородской области 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А.В. Головков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6" w:bottom="39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 w:default="1">
    <w:name w:val="Normal"/>
    <w:qFormat/>
  </w:style>
  <w:style w:type="paragraph" w:styleId="641">
    <w:name w:val="Heading 1"/>
    <w:basedOn w:val="640"/>
    <w:next w:val="640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2">
    <w:name w:val="Heading 2"/>
    <w:basedOn w:val="640"/>
    <w:next w:val="640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3">
    <w:name w:val="Heading 3"/>
    <w:basedOn w:val="640"/>
    <w:next w:val="640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4">
    <w:name w:val="Heading 4"/>
    <w:basedOn w:val="640"/>
    <w:next w:val="64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640"/>
    <w:next w:val="640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640"/>
    <w:next w:val="640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7">
    <w:name w:val="Heading 7"/>
    <w:basedOn w:val="640"/>
    <w:next w:val="640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8">
    <w:name w:val="Heading 8"/>
    <w:basedOn w:val="640"/>
    <w:next w:val="640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9">
    <w:name w:val="Heading 9"/>
    <w:basedOn w:val="640"/>
    <w:next w:val="640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Heading 1 Char"/>
    <w:basedOn w:val="650"/>
    <w:uiPriority w:val="9"/>
    <w:rPr>
      <w:rFonts w:ascii="Arial" w:hAnsi="Arial" w:eastAsia="Arial" w:cs="Arial"/>
      <w:sz w:val="40"/>
      <w:szCs w:val="40"/>
    </w:rPr>
  </w:style>
  <w:style w:type="character" w:styleId="654" w:customStyle="1">
    <w:name w:val="Heading 2 Char"/>
    <w:basedOn w:val="650"/>
    <w:uiPriority w:val="9"/>
    <w:rPr>
      <w:rFonts w:ascii="Arial" w:hAnsi="Arial" w:eastAsia="Arial" w:cs="Arial"/>
      <w:sz w:val="34"/>
    </w:rPr>
  </w:style>
  <w:style w:type="character" w:styleId="655" w:customStyle="1">
    <w:name w:val="Heading 3 Char"/>
    <w:basedOn w:val="650"/>
    <w:uiPriority w:val="9"/>
    <w:rPr>
      <w:rFonts w:ascii="Arial" w:hAnsi="Arial" w:eastAsia="Arial" w:cs="Arial"/>
      <w:sz w:val="30"/>
      <w:szCs w:val="30"/>
    </w:rPr>
  </w:style>
  <w:style w:type="character" w:styleId="656" w:customStyle="1">
    <w:name w:val="Heading 4 Char"/>
    <w:basedOn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Heading 5 Char"/>
    <w:basedOn w:val="650"/>
    <w:uiPriority w:val="9"/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Heading 6 Char"/>
    <w:basedOn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Heading 7 Char"/>
    <w:basedOn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 w:customStyle="1">
    <w:name w:val="Heading 8 Char"/>
    <w:basedOn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61" w:customStyle="1">
    <w:name w:val="Heading 9 Char"/>
    <w:basedOn w:val="650"/>
    <w:uiPriority w:val="9"/>
    <w:rPr>
      <w:rFonts w:ascii="Arial" w:hAnsi="Arial" w:eastAsia="Arial" w:cs="Arial"/>
      <w:i/>
      <w:iCs/>
      <w:sz w:val="21"/>
      <w:szCs w:val="21"/>
    </w:rPr>
  </w:style>
  <w:style w:type="character" w:styleId="662" w:customStyle="1">
    <w:name w:val="Title Char"/>
    <w:basedOn w:val="650"/>
    <w:uiPriority w:val="10"/>
    <w:rPr>
      <w:sz w:val="48"/>
      <w:szCs w:val="48"/>
    </w:rPr>
  </w:style>
  <w:style w:type="character" w:styleId="663" w:customStyle="1">
    <w:name w:val="Subtitle Char"/>
    <w:basedOn w:val="650"/>
    <w:uiPriority w:val="11"/>
    <w:rPr>
      <w:sz w:val="24"/>
      <w:szCs w:val="24"/>
    </w:rPr>
  </w:style>
  <w:style w:type="character" w:styleId="664" w:customStyle="1">
    <w:name w:val="Quote Char"/>
    <w:uiPriority w:val="29"/>
    <w:rPr>
      <w:i/>
    </w:rPr>
  </w:style>
  <w:style w:type="character" w:styleId="665" w:customStyle="1">
    <w:name w:val="Intense Quote Char"/>
    <w:uiPriority w:val="30"/>
    <w:rPr>
      <w:i/>
    </w:rPr>
  </w:style>
  <w:style w:type="character" w:styleId="666" w:customStyle="1">
    <w:name w:val="Footnote Text Char"/>
    <w:uiPriority w:val="99"/>
    <w:rPr>
      <w:sz w:val="18"/>
    </w:rPr>
  </w:style>
  <w:style w:type="character" w:styleId="667" w:customStyle="1">
    <w:name w:val="Endnote Text Char"/>
    <w:uiPriority w:val="99"/>
    <w:rPr>
      <w:sz w:val="20"/>
    </w:rPr>
  </w:style>
  <w:style w:type="character" w:styleId="668" w:customStyle="1">
    <w:name w:val="Заголовок 1 Знак"/>
    <w:basedOn w:val="650"/>
    <w:link w:val="641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50"/>
    <w:link w:val="642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50"/>
    <w:link w:val="643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50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50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50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50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5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50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after="0" w:line="240" w:lineRule="auto"/>
    </w:pPr>
  </w:style>
  <w:style w:type="paragraph" w:styleId="678">
    <w:name w:val="Title"/>
    <w:basedOn w:val="640"/>
    <w:next w:val="640"/>
    <w:link w:val="679"/>
    <w:uiPriority w:val="10"/>
    <w:qFormat/>
    <w:pPr>
      <w:contextualSpacing/>
      <w:spacing w:before="300"/>
    </w:pPr>
    <w:rPr>
      <w:sz w:val="48"/>
      <w:szCs w:val="48"/>
    </w:rPr>
  </w:style>
  <w:style w:type="character" w:styleId="679" w:customStyle="1">
    <w:name w:val="Заголовок Знак"/>
    <w:basedOn w:val="650"/>
    <w:link w:val="678"/>
    <w:uiPriority w:val="10"/>
    <w:rPr>
      <w:sz w:val="48"/>
      <w:szCs w:val="48"/>
    </w:rPr>
  </w:style>
  <w:style w:type="paragraph" w:styleId="680">
    <w:name w:val="Subtitle"/>
    <w:basedOn w:val="640"/>
    <w:next w:val="640"/>
    <w:link w:val="681"/>
    <w:uiPriority w:val="11"/>
    <w:qFormat/>
    <w:pPr>
      <w:spacing w:before="200"/>
    </w:pPr>
    <w:rPr>
      <w:sz w:val="24"/>
      <w:szCs w:val="24"/>
    </w:rPr>
  </w:style>
  <w:style w:type="character" w:styleId="681" w:customStyle="1">
    <w:name w:val="Подзаголовок Знак"/>
    <w:basedOn w:val="650"/>
    <w:link w:val="680"/>
    <w:uiPriority w:val="11"/>
    <w:rPr>
      <w:sz w:val="24"/>
      <w:szCs w:val="24"/>
    </w:rPr>
  </w:style>
  <w:style w:type="paragraph" w:styleId="682">
    <w:name w:val="Quote"/>
    <w:basedOn w:val="640"/>
    <w:next w:val="640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40"/>
    <w:next w:val="640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0"/>
    <w:uiPriority w:val="99"/>
  </w:style>
  <w:style w:type="character" w:styleId="687" w:customStyle="1">
    <w:name w:val="Footer Char"/>
    <w:basedOn w:val="650"/>
    <w:uiPriority w:val="99"/>
  </w:style>
  <w:style w:type="paragraph" w:styleId="688">
    <w:name w:val="Caption"/>
    <w:basedOn w:val="640"/>
    <w:next w:val="64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uiPriority w:val="99"/>
  </w:style>
  <w:style w:type="table" w:styleId="690">
    <w:name w:val="Table Grid"/>
    <w:basedOn w:val="6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Table Grid Light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5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6">
    <w:name w:val="footnote text"/>
    <w:basedOn w:val="640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50"/>
    <w:uiPriority w:val="99"/>
    <w:unhideWhenUsed/>
    <w:rPr>
      <w:vertAlign w:val="superscript"/>
    </w:rPr>
  </w:style>
  <w:style w:type="paragraph" w:styleId="819">
    <w:name w:val="endnote text"/>
    <w:basedOn w:val="640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50"/>
    <w:uiPriority w:val="99"/>
    <w:semiHidden/>
    <w:unhideWhenUsed/>
    <w:rPr>
      <w:vertAlign w:val="superscript"/>
    </w:rPr>
  </w:style>
  <w:style w:type="paragraph" w:styleId="822">
    <w:name w:val="toc 1"/>
    <w:basedOn w:val="640"/>
    <w:next w:val="640"/>
    <w:uiPriority w:val="39"/>
    <w:unhideWhenUsed/>
    <w:pPr>
      <w:spacing w:after="57"/>
    </w:pPr>
  </w:style>
  <w:style w:type="paragraph" w:styleId="823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24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25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26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27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28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29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30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40"/>
    <w:next w:val="640"/>
    <w:uiPriority w:val="99"/>
    <w:unhideWhenUsed/>
    <w:pPr>
      <w:spacing w:after="0"/>
    </w:p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1" w:customStyle="1">
    <w:name w:val="Знак"/>
    <w:basedOn w:val="64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2">
    <w:name w:val="Hyperlink"/>
    <w:basedOn w:val="650"/>
    <w:uiPriority w:val="99"/>
    <w:unhideWhenUsed/>
    <w:rPr>
      <w:color w:val="0000ff" w:themeColor="hyperlink"/>
      <w:u w:val="single"/>
    </w:rPr>
  </w:style>
  <w:style w:type="paragraph" w:styleId="843" w:customStyle="1">
    <w:name w:val="Знак"/>
    <w:basedOn w:val="64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4">
    <w:name w:val="Normal (Web)"/>
    <w:basedOn w:val="64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List Paragraph"/>
    <w:basedOn w:val="640"/>
    <w:uiPriority w:val="34"/>
    <w:qFormat/>
    <w:pPr>
      <w:contextualSpacing/>
      <w:ind w:left="720"/>
    </w:pPr>
  </w:style>
  <w:style w:type="paragraph" w:styleId="846">
    <w:name w:val="Header"/>
    <w:basedOn w:val="640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50"/>
    <w:link w:val="846"/>
    <w:uiPriority w:val="99"/>
  </w:style>
  <w:style w:type="paragraph" w:styleId="848">
    <w:name w:val="Footer"/>
    <w:basedOn w:val="640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650"/>
    <w:link w:val="848"/>
    <w:uiPriority w:val="99"/>
  </w:style>
  <w:style w:type="paragraph" w:styleId="850" w:customStyle="1">
    <w:name w:val="Знак"/>
    <w:basedOn w:val="64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B293-3F7D-4C47-8F64-B6C68A97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47</cp:revision>
  <dcterms:created xsi:type="dcterms:W3CDTF">2024-02-26T14:24:00Z</dcterms:created>
  <dcterms:modified xsi:type="dcterms:W3CDTF">2025-08-22T11:19:38Z</dcterms:modified>
</cp:coreProperties>
</file>