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highlight w:val="none"/>
        </w:rPr>
      </w:r>
      <w:r>
        <w:rPr>
          <w:rFonts w:ascii="Times New Roman" w:hAnsi="Times New Roman" w:cs="Times New Roman"/>
          <w:b/>
          <w:sz w:val="25"/>
          <w:szCs w:val="25"/>
          <w:highlight w:val="none"/>
        </w:rPr>
      </w:r>
      <w:r/>
    </w:p>
    <w:p>
      <w:pPr>
        <w:jc w:val="right"/>
        <w:rPr>
          <w:rFonts w:ascii="Times New Roman" w:hAnsi="Times New Roman" w:cs="Times New Roman"/>
          <w:b/>
          <w:bCs/>
          <w:sz w:val="25"/>
          <w:szCs w:val="25"/>
          <w:highlight w:val="none"/>
        </w:rPr>
      </w:pPr>
      <w:r>
        <w:rPr>
          <w:rFonts w:ascii="Times New Roman" w:hAnsi="Times New Roman" w:cs="Times New Roman"/>
          <w:b/>
          <w:sz w:val="25"/>
          <w:szCs w:val="25"/>
          <w:highlight w:val="none"/>
        </w:rPr>
        <w:t xml:space="preserve">ПРОЕКТ</w:t>
      </w:r>
      <w:r>
        <w:rPr>
          <w:rFonts w:ascii="Times New Roman" w:hAnsi="Times New Roman" w:cs="Times New Roman"/>
          <w:b/>
          <w:sz w:val="25"/>
          <w:szCs w:val="25"/>
          <w:highlight w:val="none"/>
        </w:rPr>
      </w:r>
      <w:r/>
    </w:p>
    <w:p>
      <w:pPr>
        <w:jc w:val="right"/>
        <w:rPr>
          <w:rFonts w:ascii="Times New Roman" w:hAnsi="Times New Roman" w:cs="Times New Roman"/>
          <w:b/>
          <w:bCs/>
          <w:sz w:val="25"/>
          <w:szCs w:val="25"/>
          <w:highlight w:val="none"/>
        </w:rPr>
      </w:pPr>
      <w:r>
        <w:rPr>
          <w:rFonts w:ascii="Times New Roman" w:hAnsi="Times New Roman" w:cs="Times New Roman"/>
          <w:b/>
          <w:bCs/>
          <w:sz w:val="25"/>
          <w:szCs w:val="25"/>
          <w:highlight w:val="none"/>
        </w:rPr>
      </w:r>
      <w:r>
        <w:rPr>
          <w:rFonts w:ascii="Times New Roman" w:hAnsi="Times New Roman" w:cs="Times New Roman"/>
          <w:b/>
          <w:bCs/>
          <w:sz w:val="25"/>
          <w:szCs w:val="25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permStart w:colFirst="0" w:colLast="0" w:displacedbyCustomXml="next" w:ed="null" w:edGrp="administrators" w:id=""/>
      <w:r>
        <w:rPr>
          <w:rFonts w:ascii="Times New Roman" w:hAnsi="Times New Roman" w:cs="Times New Roman"/>
          <w:b/>
          <w:sz w:val="26"/>
          <w:szCs w:val="26"/>
        </w:rPr>
        <w:t xml:space="preserve">Заключение об экспертизе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постановления главы администрации Белгородской области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от 09 декабря 1999 года № 704 «О мерах по усилению контроля за деятельностью мясоперерабатывающих предприятий, цехов малой мощности и обеспечению качества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и безопасности выпускаемой ими продукции»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Министерством экономического развития и промышленности Бе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лгородской области в соответствии с постановлением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br/>
        <w:t xml:space="preserve">от 13 октября 2014 года № 378-пп в рамках Положения о проведении оценки регулирующего воздействия проектов нормативных правовых актов и экспертизы нормативных правовых а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ктов Белгородской области, рассмотрено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постановление главы администрации Белгородской области от 09 декабря 1999 года № 704 </w:t>
        <w:br/>
        <w:t xml:space="preserve">«О мерах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 усилению контроля за деятельностью мясоперерабатывающих предприятий, цехов малой мощности и обеспечению качества и безо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пасности выпускаемой ими продукции»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1. Настоящее заключение подготовлено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впервые.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2. Уполномоченным органом проведены публичные консультации 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br/>
        <w:t xml:space="preserve">в сроки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: с 31 мая по 28 июня 2024 года.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В ходе проведения публичных консультаций участие в обсуждении постановлен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ия Правительства области приняли Союз «Торгово-промышленная палата Белгородской области», областное государственное автономное учреждение «Белгородская государственная станция по борьбе с болезнями животных». Поступило 2 предложения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br/>
        <w:t xml:space="preserve">и замечания. Отзывы уч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астников приведены в сводке предложений.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 Информация об экспертизе нормативного правового акта размещена уполномоченным органом на официальном сайте в сети Интернет: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на сайте министерства экономического развития и промышленности Белгородской области (htt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p://minecprom.ru/deyatelnost/ocenka-reguliruyushego-vozdejstviya/ekspertiza/ekspertiza-postanovleniya-glavy-administracii-3152/) и Инвестиционном портале Белгородской области (https://belgorodinvest.com/docs/otsenka-reguliruyushchego-vozdeystviya/#tab-201)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. 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 На основе проведенной экспертизы нормативного правового акта,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с учетом информации полученной от органа разработчика, сделаны следующие выводы: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Целью, заявленной при разработке нормативного правового акта, </w:t>
      </w:r>
      <w:r>
        <w:rPr>
          <w:rFonts w:ascii="Times New Roman" w:hAnsi="Times New Roman" w:cs="Times New Roman"/>
          <w:bCs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обеспечение санитарно-эпидеми</w:t>
      </w:r>
      <w:r>
        <w:rPr>
          <w:rFonts w:ascii="Times New Roman" w:hAnsi="Times New Roman" w:cs="Times New Roman"/>
          <w:sz w:val="26"/>
          <w:szCs w:val="26"/>
        </w:rPr>
        <w:t xml:space="preserve">ологического благополучия населения, повышение контроля за технологией производства, качеством выпускаемой мясопродукции </w:t>
      </w:r>
      <w:r>
        <w:rPr>
          <w:rFonts w:ascii="Times New Roman" w:hAnsi="Times New Roman" w:cs="Times New Roman"/>
          <w:sz w:val="26"/>
          <w:szCs w:val="26"/>
        </w:rPr>
        <w:t xml:space="preserve">предприятиями и цехами малой мощности независимо от форм собственности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тановление главы администрации Белгородской области от 09 декабря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br/>
        <w:t xml:space="preserve">1999 года № 704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устанавливает: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e0f0e"/>
          <w:sz w:val="26"/>
          <w:szCs w:val="26"/>
        </w:rPr>
        <w:t xml:space="preserve">проведение комплексной аттестации всех мясоперерабатывающих предприятий </w:t>
      </w:r>
      <w:r>
        <w:rPr>
          <w:rFonts w:ascii="Times New Roman" w:hAnsi="Times New Roman" w:cs="Times New Roman"/>
          <w:color w:val="0e0f0e"/>
          <w:sz w:val="26"/>
          <w:szCs w:val="26"/>
        </w:rPr>
        <w:br/>
        <w:t xml:space="preserve">и цехов малой мощности всех форм собственности;</w:t>
      </w:r>
      <w:r>
        <w:rPr>
          <w:rFonts w:ascii="Times New Roman" w:hAnsi="Times New Roman" w:cs="Times New Roman"/>
          <w:color w:val="0e0f0e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e0f0e"/>
          <w:sz w:val="26"/>
          <w:szCs w:val="26"/>
        </w:rPr>
        <w:t xml:space="preserve">ввод мясоперерабатывающих предприятий</w:t>
      </w:r>
      <w:r>
        <w:rPr>
          <w:rFonts w:ascii="Times New Roman" w:hAnsi="Times New Roman" w:cs="Times New Roman"/>
          <w:color w:val="0e0f0e"/>
          <w:sz w:val="26"/>
          <w:szCs w:val="26"/>
        </w:rPr>
        <w:t xml:space="preserve"> и цехов малой мощности только </w:t>
      </w:r>
      <w:r>
        <w:rPr>
          <w:rFonts w:ascii="Times New Roman" w:hAnsi="Times New Roman" w:cs="Times New Roman"/>
          <w:color w:val="0e0f0e"/>
          <w:sz w:val="26"/>
          <w:szCs w:val="26"/>
        </w:rPr>
        <w:br/>
        <w:t xml:space="preserve">при наличии заключений контролирующих органов;</w:t>
      </w:r>
      <w:r>
        <w:rPr>
          <w:rFonts w:ascii="Times New Roman" w:hAnsi="Times New Roman" w:cs="Times New Roman"/>
          <w:color w:val="0e0f0e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e0f0e"/>
          <w:sz w:val="26"/>
          <w:szCs w:val="26"/>
        </w:rPr>
        <w:t xml:space="preserve">требования к выдаче разрешений на ввод в эксплуатацию предприятий </w:t>
        <w:br/>
        <w:t xml:space="preserve">и цехов </w:t>
      </w:r>
      <w:r>
        <w:rPr>
          <w:rFonts w:ascii="Times New Roman" w:hAnsi="Times New Roman" w:cs="Times New Roman"/>
          <w:color w:val="0e0f0e"/>
          <w:sz w:val="26"/>
          <w:szCs w:val="26"/>
        </w:rPr>
        <w:t xml:space="preserve">по переработке продукции животного происхождения на основании комиссионного заключения всех уполномоче</w:t>
      </w:r>
      <w:r>
        <w:rPr>
          <w:rFonts w:ascii="Times New Roman" w:hAnsi="Times New Roman" w:cs="Times New Roman"/>
          <w:color w:val="0e0f0e"/>
          <w:sz w:val="26"/>
          <w:szCs w:val="26"/>
        </w:rPr>
        <w:t xml:space="preserve">нных государственных контролирующих органов;</w:t>
      </w:r>
      <w:r>
        <w:rPr>
          <w:rFonts w:ascii="Times New Roman" w:hAnsi="Times New Roman" w:cs="Times New Roman"/>
          <w:color w:val="0e0f0e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e0f0e"/>
          <w:sz w:val="26"/>
          <w:szCs w:val="26"/>
        </w:rPr>
        <w:t xml:space="preserve">запрет на открытие предприятий, цехов малой мощности по переработке сырья животного происхождения без проведения экспертизы пробной (опытной) партии продукции.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8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01 марта 2000 года по 31 декабря </w:t>
      </w:r>
      <w:r>
        <w:rPr>
          <w:rFonts w:ascii="Times New Roman" w:hAnsi="Times New Roman" w:cs="Times New Roman"/>
          <w:sz w:val="26"/>
          <w:szCs w:val="26"/>
        </w:rPr>
        <w:t xml:space="preserve">2019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предприятиями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по производству и хранению продуктов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области получено более </w:t>
      </w:r>
      <w:r>
        <w:rPr>
          <w:rFonts w:ascii="Times New Roman" w:hAnsi="Times New Roman" w:cs="Times New Roman"/>
          <w:sz w:val="26"/>
          <w:szCs w:val="26"/>
        </w:rPr>
        <w:br/>
        <w:t xml:space="preserve">30 заключений о благополучии/неблагополучии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земельных участков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под строительство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почвенных инфекций, а также соблюдении/ несоблюдении размеров</w:t>
      </w:r>
      <w:r>
        <w:rPr>
          <w:rFonts w:ascii="Times New Roman" w:hAnsi="Times New Roman" w:cs="Times New Roman"/>
          <w:sz w:val="26"/>
          <w:szCs w:val="26"/>
        </w:rPr>
        <w:t xml:space="preserve"> санитарно-защитных зон.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8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2020 год на территории Белгородской области зарегистрировано более 100 мясоперерабатывающих предприятий, аттестация которых на предмет их соответствия технологическим, санитарно-эпидемиологическим и ветеринарным пра</w:t>
      </w:r>
      <w:r>
        <w:rPr>
          <w:rFonts w:ascii="Times New Roman" w:hAnsi="Times New Roman" w:cs="Times New Roman"/>
          <w:sz w:val="26"/>
          <w:szCs w:val="26"/>
        </w:rPr>
        <w:t xml:space="preserve">вилам и нормам, проводилась ежегодно.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8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цели нормативного правового регулирования достигнуты. Однако, в связи с внесением изменений в федеральное законодательство в области ветеринарии нормы, установленные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утратили актуальность.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8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статьей 3 Федерального закона от 18 декабря 2006 года № 232-ФЗ </w:t>
      </w:r>
      <w:r>
        <w:rPr>
          <w:rFonts w:ascii="Times New Roman" w:hAnsi="Times New Roman" w:cs="Times New Roman"/>
          <w:sz w:val="26"/>
          <w:szCs w:val="26"/>
        </w:rPr>
        <w:br/>
        <w:t xml:space="preserve">«О внесении изменений в Градостроительный кодекс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и отдельные законодательные акты Российской Федерации» в часть 2 статьи 12 Закона Российской Федерации от 14 мая 1</w:t>
      </w:r>
      <w:r>
        <w:rPr>
          <w:rFonts w:ascii="Times New Roman" w:hAnsi="Times New Roman" w:cs="Times New Roman"/>
          <w:sz w:val="26"/>
          <w:szCs w:val="26"/>
        </w:rPr>
        <w:t xml:space="preserve">993 года № 4979-1 «О ветеринарии» внесены изменения в части исключения требования о наличии заключений органов государственного ветеринарного надзора о соответствии проектной документации действующим ветеринарным нормам и правилам при вводе в эксплуатацию </w:t>
      </w:r>
      <w:r>
        <w:rPr>
          <w:rFonts w:ascii="Times New Roman" w:hAnsi="Times New Roman" w:cs="Times New Roman"/>
          <w:sz w:val="26"/>
          <w:szCs w:val="26"/>
        </w:rPr>
        <w:t xml:space="preserve">предприятий по производству и хранению продуктов животноводства. Указанные изменения вступили в силу с 01 января 2020 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_638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27 декабря 2019 года № 447-ФЗ «О внесении изменений в отдельные законодательные акты Российской Федерации по </w:t>
      </w:r>
      <w:r>
        <w:rPr>
          <w:rFonts w:ascii="Times New Roman" w:hAnsi="Times New Roman" w:cs="Times New Roman"/>
          <w:sz w:val="26"/>
          <w:szCs w:val="26"/>
        </w:rPr>
        <w:t xml:space="preserve">вопросам совершенствования осуществления федерального государственного ветеринарного надзора» в статью 12 Закона Российской Федерации от 14 мая 1993 года № 4979-1             «О ветеринарии» внесены изменения регламентирующие, что предоставление земельного</w:t>
      </w:r>
      <w:r>
        <w:rPr>
          <w:rFonts w:ascii="Times New Roman" w:hAnsi="Times New Roman" w:cs="Times New Roman"/>
          <w:sz w:val="26"/>
          <w:szCs w:val="26"/>
        </w:rPr>
        <w:t xml:space="preserve"> участка для строительства зданий (строений, сооружений), предназначенных для производства и хранения продуктов животноводства допускается только при наличии заключений органов, осуществляющих федеральный государственный ветеринарный контроль (надзор), о с</w:t>
      </w:r>
      <w:r>
        <w:rPr>
          <w:rFonts w:ascii="Times New Roman" w:hAnsi="Times New Roman" w:cs="Times New Roman"/>
          <w:sz w:val="26"/>
          <w:szCs w:val="26"/>
        </w:rPr>
        <w:t xml:space="preserve">оответствии размещения таких зданий (строений, сооружений) действующим ветеринарным нормам и правилам.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2. В результате анализа материалов, предоставленных органом-разработчиком, а также предложений, полученных по итогам публичных обсуждений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министерство эк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ономического развития и промышленности области пришло к выводу, что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постановление главы администрации Белгородской области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br/>
        <w:t xml:space="preserve">от 09 декабря 1999 года № 704 «О мерах по усилению контроля за деятельностью мясоперерабатывающих предприятий, цехов малой мощности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и обеспечению качества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br/>
        <w:t xml:space="preserve">и безопасности выпускаемой ими продукции»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утратило актуальность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не соответствует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действующему федеральному законодательству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содержит избыточные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 неприменяемые требования для хозяйствующих субъектов области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Учитывая вышеизложенное, по итогам проведенной экспертизы, министерство экономического развития и промышл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енности области считает целесообразным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постановлени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 главы администрации Белгородской области </w:t>
        <w:br/>
        <w:t xml:space="preserve">от 09 декабря 1999 года      № 704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«О мерах по усилению контроля за деятельностью мясоперерабатывающих предприятий, цехов малой мощности и обеспечению качества и безопасности выпускаемой ими продукции»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признать утратившим силу.</w:t>
      </w:r>
      <w:bookmarkStart w:id="0" w:name="_GoBack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426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1_638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2024-07-30T07:05:17Z</dcterms:modified>
</cp:coreProperties>
</file>