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развития отраслей сельского хозяйства министерства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«Об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сентября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2024 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окончание «1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2024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ного правового акта содержит положения, изменяющие условия предоставления субсидии из областного бюджета на условиях софинансирования расходных обязательств Белгородской области за счет средств федерального бюджета по возмещению части затрат сельскохозяйст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венных товаропроизводителей (за исключением граждан, ведущих личное подсобное хозяйство и сельскохозяйственных кредитных потребительских кооперативов), на закладку и (или) уход за многолетними насаждениями (до вступления в товарное плодоношение, но не боле</w:t>
      </w:r>
      <w:r>
        <w:rPr>
          <w:rFonts w:ascii="Times New Roman" w:hAnsi="Times New Roman" w:eastAsia="Calibri" w:cs="Times New Roman"/>
          <w:sz w:val="26"/>
          <w:szCs w:val="26"/>
        </w:rPr>
        <w:t xml:space="preserve">е 3 лет с момента закладки для садов интенсивного типа), включая питомники, за исключением закладки и ухода за виноградниками, в том числе на установку шпалеры и (или) противоградовой сетки (включая стоимость шпалеры и (или) стоимость противоградовой сетки</w:t>
      </w:r>
      <w:r>
        <w:rPr>
          <w:rFonts w:ascii="Times New Roman" w:hAnsi="Times New Roman" w:eastAsia="Calibri" w:cs="Times New Roman"/>
          <w:sz w:val="26"/>
          <w:szCs w:val="26"/>
        </w:rPr>
        <w:t xml:space="preserve">), и (или) раскорчевку выбывших из эксплуатации многолетних насаждений (в возрасте 20 лет и более начиная с года закладки при условии наличия у сельскохозяйственных товаропроизводителей проекта на закладку многолетних насаждений на раскорчеванной площади).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Подгорный Александр Николаевич.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bookmarkStart w:id="1" w:name="_Hlk159860577"/>
      <w:r>
        <w:rPr>
          <w:rFonts w:ascii="Times New Roman" w:hAnsi="Times New Roman" w:eastAsia="Times New Roman" w:cs="Times New Roman"/>
          <w:sz w:val="26"/>
          <w:szCs w:val="26"/>
        </w:rPr>
        <w:t xml:space="preserve">начальник отдела развития отраслей растениеводства, мелиорации и механизации департамента развития отраслей сельского хозяйства министерства сельского хозяйств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 и продовольствия Белгородской области</w:t>
      </w:r>
      <w:bookmarkEnd w:id="1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24-76-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bookmarkStart w:id="2" w:name="_Hlk159860523"/>
      <w:r>
        <w:rPr>
          <w:rFonts w:ascii="Times New Roman" w:hAnsi="Times New Roman" w:cs="Times New Roman"/>
          <w:sz w:val="26"/>
          <w:szCs w:val="26"/>
          <w:lang w:val="en-US"/>
        </w:rPr>
        <w:t xml:space="preserve">podgorny</w:t>
      </w:r>
      <w:r>
        <w:rPr>
          <w:rFonts w:ascii="Times New Roman" w:hAnsi="Times New Roman" w:cs="Times New Roman"/>
          <w:sz w:val="26"/>
          <w:szCs w:val="26"/>
        </w:rPr>
        <w:t xml:space="preserve">@belapk.ru</w:t>
      </w:r>
      <w:bookmarkEnd w:id="2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недостаточность собственных средств на закладку и (или) уход, и (или) раскорчевку многолетних насаждений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мониторинг антикризисных мер в сельскохозяйственном секторе Белгородской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утрата хозяйствующими субъектами, занятыми в отрасли садоводства, основного средства производства – многолетних плодово-ягодных насаждений;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лишние временные и финансовые издержки сельскохозяйственных товаропроизводителей на разработку проектной документации, которая на практике при фактической закладке многолетних плодово-ягодных насаждений не используется.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Постановление Администрации Курской области от 17 ноября 2017 года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br/>
      </w:r>
      <w:r>
        <w:rPr>
          <w:rFonts w:ascii="Times New Roman" w:hAnsi="Times New Roman" w:eastAsia="Calibri" w:cs="Times New Roman"/>
          <w:sz w:val="26"/>
          <w:szCs w:val="26"/>
        </w:rPr>
        <w:t xml:space="preserve">№</w:t>
      </w:r>
      <w:r>
        <w:rPr>
          <w:rFonts w:ascii="Times New Roman" w:hAnsi="Times New Roman" w:eastAsia="Calibri" w:cs="Times New Roman"/>
          <w:sz w:val="26"/>
          <w:szCs w:val="26"/>
        </w:rPr>
        <w:t xml:space="preserve"> 920-па «Об утверждении Правил предоставления из областного бюджета субсидий на возмещение части затрат на закладку и (или) уход за многолетними плодовыми и ягодными насаждениями, в том числе на раскорчевку выбывших из эксплуатации многолетних насаждений»;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Постановлен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ие Правительства Тульской области от 26 января 2021 года №710 «Об утверждении Порядка предоставления из бюджета Тульской области субсидий на стимулирование развития приоритетных подотраслей агропромышленного комплекса и развитие малых форм хозяйствования».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3.Цели вводимого правового регулирования и измеримые показатели 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тимулирование с/х товаропроизводителей на закладку и уход за плодово-ягодными насаждениями с целью получения устойчивых и высоких урожаев сельскохозяйственных культур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разработан в соответствии с Постановлением Правительства Российской Федерации от 25 октября 2023 года N 1782 "Об утверждении общих требований к нормативным правовым актам,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телям товаров, работ, услуг и проведение отборов получателей указанных субсидий, в том числе грантов в форме субсидий"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Государственной программой развития сельского хозяйства и регулирования рынков сельскохозяйственной проду</w:t>
      </w:r>
      <w:r>
        <w:rPr>
          <w:rFonts w:ascii="Times New Roman" w:hAnsi="Times New Roman" w:eastAsia="Calibri" w:cs="Times New Roman"/>
          <w:sz w:val="26"/>
          <w:szCs w:val="26"/>
        </w:rPr>
        <w:t xml:space="preserve">кции, сырья и продовольствия, утвержденной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2024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Пра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вительства Белгородской области  утверждается порядок предоставления субсидий на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включающий в себя: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общие положения;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порядок проведения отбора получателей субсидий для предоставления Субсидий;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условия и поряд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ок предоставления субсидии;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требования к отчетности;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требования к осуществлению контроля (мониторинга) за соблюдением условий, целей и порядка предоставления Субсидий и ответственности за их нарушение.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существление работ по закладке и (или) уходу, и (или) раскорчевке многолетних насаждений за счет собственных или заемных средств сельскохозяйственных товаропроизводителей.</w:t>
      </w:r>
      <w:r>
        <w:rPr>
          <w:rFonts w:ascii="Times New Roman" w:hAnsi="Times New Roman" w:eastAsia="Calibri" w:cs="Times New Roman"/>
          <w:sz w:val="26"/>
          <w:szCs w:val="26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Так, нап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ример, при минимальном размере субсидии в сумме 5 млн. руб. в случае привлечения заемных средств в вышеуказанной сумме (под процентную ставку в размере 5% (в сфере АПК) на 24 месяца переплата товаропроизводителя составит 262, 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 среднем размер</w:t>
      </w:r>
      <w:r>
        <w:rPr>
          <w:rFonts w:ascii="Times New Roman" w:hAnsi="Times New Roman" w:eastAsia="Calibri" w:cs="Times New Roman"/>
          <w:sz w:val="26"/>
          <w:szCs w:val="26"/>
        </w:rPr>
        <w:t xml:space="preserve">е субсидии в сумме 14,6 млн. руб. в случае привлечения заемных средств в вышеуказанной сумме (под процентную ставку в размере 5%                            (в сфере АПК)  на 24 месяца  переплата товаропроизводителя составит 766,5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Таким образом по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лучение субсидии для сельскохозяйственных товаропроизводителей является финансово более выгодным, чем привлечение заемных ресурсов.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Cs/>
          <w:sz w:val="26"/>
          <w:szCs w:val="26"/>
        </w:rPr>
      </w:pPr>
      <w:r>
        <w:rPr>
          <w:rFonts w:ascii="Times New Roman" w:hAnsi="Times New Roman" w:eastAsia="Calibri" w:cs="Times New Roman"/>
          <w:iCs/>
          <w:sz w:val="26"/>
          <w:szCs w:val="26"/>
        </w:rPr>
        <w:t xml:space="preserve">Оптимальным способом решения проблемы является утверждение П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орядка, позволяющего сельскохозяйственным товаропроизводителям Белгородской области получить 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Данное нормативное правовое регулирование позволит снизить финансовую нагрузку на хозяйствующие субъекты.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 ед.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3402"/>
        <w:gridCol w:w="385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Сельскохозяйственные товаропроизводители (за исключением граждан,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ведущих личное подсобное хозяйство, и сельскохозяйственных кредитных потребительских кооперативов)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Преимущества:</w:t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Возможность получения </w:t>
            </w:r>
            <w:r>
              <w:rPr>
                <w:rFonts w:eastAsia="Calibri"/>
                <w:sz w:val="22"/>
                <w:szCs w:val="22"/>
              </w:rPr>
              <w:t xml:space="preserve">сельскохозяйственными </w:t>
            </w:r>
            <w:r>
              <w:rPr>
                <w:rFonts w:eastAsia="Calibri"/>
                <w:sz w:val="22"/>
                <w:szCs w:val="22"/>
              </w:rPr>
              <w:t xml:space="preserve">товаропроизводителями</w:t>
            </w:r>
            <w:r>
              <w:rPr>
                <w:rFonts w:eastAsia="Calibri"/>
                <w:sz w:val="22"/>
                <w:szCs w:val="22"/>
              </w:rPr>
              <w:t xml:space="preserve"> субсиди</w:t>
            </w:r>
            <w:r>
              <w:rPr>
                <w:rFonts w:eastAsia="Calibri"/>
                <w:sz w:val="22"/>
                <w:szCs w:val="22"/>
              </w:rPr>
              <w:t xml:space="preserve">й на </w:t>
            </w:r>
            <w:r>
              <w:rPr>
                <w:rFonts w:eastAsia="Calibri"/>
                <w:sz w:val="22"/>
                <w:szCs w:val="22"/>
              </w:rPr>
              <w:t xml:space="preserve">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</w:rPr>
              <w:t xml:space="preserve">Финансирование в 2024 году будет осуществляться в виде субсидии на общую сумму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263 814,7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Общая стоимость требования</w:t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267,7 тыс. руб.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(45,55 чел./часов * </w:t>
            </w: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lang w:eastAsia="ru-RU"/>
              </w:rPr>
              <w:t xml:space="preserve">235,11 руб. * 25 ед.)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За счет предусмотренной возможности предоставления пакета документов в электронном виде общая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стоимость требования на сбор и предоставление необходимого пакета документов сократится на 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8,8 тыс</w:t>
            </w:r>
            <w:r>
              <w:rPr>
                <w:rFonts w:ascii="Times New Roman" w:hAnsi="Times New Roman" w:eastAsia="Times New Roman"/>
                <w:b/>
                <w:sz w:val="22"/>
                <w:szCs w:val="22"/>
                <w:lang w:eastAsia="ru-RU"/>
              </w:rPr>
              <w:t xml:space="preserve">. руб.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276,5 тыс.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трудозатраты по текущему регулированию</w:t>
              <w:br/>
              <w:t xml:space="preserve"> </w:t>
            </w: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267,7 тыс. руб. трудозатраты согласно проекту НПА</w:t>
            </w:r>
            <w:r>
              <w:rPr>
                <w:rFonts w:ascii="Times New Roman" w:hAnsi="Times New Roman" w:eastAsia="Times New Roman"/>
                <w:b w:val="0"/>
                <w:bCs w:val="0"/>
                <w:sz w:val="22"/>
                <w:szCs w:val="22"/>
                <w:lang w:eastAsia="ru-RU"/>
              </w:rPr>
              <w:t xml:space="preserve">)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Обязанности:</w:t>
            </w:r>
            <w:r/>
          </w:p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 xml:space="preserve"> предоставление пакета документов, необходимых для участия в конкурсном отборе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Функции министерства будут осуще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435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рство сельского хозяйства и продовольствия Белгородской области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сельскохозяйственным товаропроизводителям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в 2024 году будет осуществляться в виде субсидии на общую сумму                     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263 814,7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руб.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1"/>
        <w:gridCol w:w="38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Отсутствие заявок на участие в конкурсном отборе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843"/>
              <w:ind w:left="142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объемов производства плодов и ягод на территории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13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32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финансиро- 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финансиро- 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официальном сайте департамента (belapk.ru )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Мониторинг предоставленной субсидии на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27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417"/>
        <w:gridCol w:w="1984"/>
        <w:gridCol w:w="1697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6" w:right="-103" w:firstLine="106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Коли-чествнное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>
          <w:trHeight w:val="28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1. К декабрю 2024 года оказание финансовой поддержки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 менее 2 сельхозтоваропроизводителям.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ирование на предоставление субсидии сельскохозяйственным товаропроизводителям на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предусмотрено в размере </w:t>
            </w:r>
            <w:r/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263 814,7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тыс. руб.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2.Увеличением объема реализуемой сельхозпродукции в течение 5 лет.</w:t>
            </w:r>
            <w:r/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 ед.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сельскохозяйственных товаропроизводителей</w:t>
            </w:r>
            <w:r/>
          </w:p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ind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2024 года</w:t>
            </w:r>
            <w:r/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4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квартал 2024 года.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57"/>
        <w:gridCol w:w="1359"/>
        <w:gridCol w:w="448"/>
        <w:gridCol w:w="448"/>
        <w:gridCol w:w="1784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Заместитель министра области –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начальник департамента развития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отраслей сельского хозяйства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Головков</w:t>
            </w:r>
            <w:bookmarkStart w:id="3" w:name="_GoBack"/>
            <w:r/>
            <w:bookmarkEnd w:id="3"/>
            <w:r/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38"/>
    <w:next w:val="638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48"/>
    <w:link w:val="676"/>
    <w:uiPriority w:val="10"/>
    <w:rPr>
      <w:sz w:val="48"/>
      <w:szCs w:val="48"/>
    </w:rPr>
  </w:style>
  <w:style w:type="paragraph" w:styleId="678">
    <w:name w:val="Subtitle"/>
    <w:basedOn w:val="638"/>
    <w:next w:val="638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48"/>
    <w:link w:val="678"/>
    <w:uiPriority w:val="11"/>
    <w:rPr>
      <w:sz w:val="24"/>
      <w:szCs w:val="24"/>
    </w:rPr>
  </w:style>
  <w:style w:type="paragraph" w:styleId="680">
    <w:name w:val="Quote"/>
    <w:basedOn w:val="638"/>
    <w:next w:val="638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38"/>
    <w:next w:val="638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48"/>
    <w:uiPriority w:val="99"/>
  </w:style>
  <w:style w:type="character" w:styleId="685" w:customStyle="1">
    <w:name w:val="Footer Char"/>
    <w:basedOn w:val="648"/>
    <w:uiPriority w:val="99"/>
  </w:style>
  <w:style w:type="paragraph" w:styleId="686">
    <w:name w:val="Caption"/>
    <w:basedOn w:val="638"/>
    <w:next w:val="6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38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8"/>
    <w:uiPriority w:val="99"/>
    <w:unhideWhenUsed/>
    <w:rPr>
      <w:vertAlign w:val="superscript"/>
    </w:rPr>
  </w:style>
  <w:style w:type="paragraph" w:styleId="817">
    <w:name w:val="endnote text"/>
    <w:basedOn w:val="638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8"/>
    <w:uiPriority w:val="99"/>
    <w:semiHidden/>
    <w:unhideWhenUsed/>
    <w:rPr>
      <w:vertAlign w:val="superscript"/>
    </w:rPr>
  </w:style>
  <w:style w:type="paragraph" w:styleId="820">
    <w:name w:val="toc 1"/>
    <w:basedOn w:val="638"/>
    <w:next w:val="638"/>
    <w:uiPriority w:val="39"/>
    <w:unhideWhenUsed/>
    <w:pPr>
      <w:spacing w:after="57"/>
    </w:pPr>
  </w:style>
  <w:style w:type="paragraph" w:styleId="821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2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3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4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5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6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7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8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8"/>
    <w:next w:val="638"/>
    <w:uiPriority w:val="99"/>
    <w:unhideWhenUsed/>
    <w:pPr>
      <w:spacing w:after="0"/>
    </w:pPr>
  </w:style>
  <w:style w:type="paragraph" w:styleId="8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9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0">
    <w:name w:val="Hyperlink"/>
    <w:basedOn w:val="648"/>
    <w:uiPriority w:val="99"/>
    <w:unhideWhenUsed/>
    <w:rPr>
      <w:color w:val="0000ff" w:themeColor="hyperlink"/>
      <w:u w:val="single"/>
    </w:rPr>
  </w:style>
  <w:style w:type="paragraph" w:styleId="841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>
    <w:name w:val="Normal (Web)"/>
    <w:basedOn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List Paragraph"/>
    <w:basedOn w:val="638"/>
    <w:uiPriority w:val="34"/>
    <w:qFormat/>
    <w:pPr>
      <w:contextualSpacing/>
      <w:ind w:left="720"/>
    </w:pPr>
  </w:style>
  <w:style w:type="paragraph" w:styleId="844">
    <w:name w:val="Header"/>
    <w:basedOn w:val="63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48"/>
    <w:link w:val="844"/>
    <w:uiPriority w:val="99"/>
  </w:style>
  <w:style w:type="paragraph" w:styleId="846">
    <w:name w:val="Footer"/>
    <w:basedOn w:val="6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48"/>
    <w:link w:val="846"/>
    <w:uiPriority w:val="99"/>
  </w:style>
  <w:style w:type="paragraph" w:styleId="848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1A68-6A99-44EA-BE55-6421086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48</cp:revision>
  <dcterms:created xsi:type="dcterms:W3CDTF">2024-02-26T14:24:00Z</dcterms:created>
  <dcterms:modified xsi:type="dcterms:W3CDTF">2024-09-27T12:53:49Z</dcterms:modified>
</cp:coreProperties>
</file>