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jc w:val="center"/>
        <w:widowControl w:val="off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  <w:r/>
    </w:p>
    <w:p>
      <w:pPr>
        <w:contextualSpacing/>
        <w:ind w:left="0" w:right="0" w:firstLine="0"/>
        <w:jc w:val="center"/>
        <w:widowControl w:val="off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к проекту постановления Правительства Белгородской области </w:t>
      </w:r>
      <w:r>
        <w:rPr>
          <w:b/>
          <w:bCs/>
          <w:sz w:val="28"/>
          <w:szCs w:val="28"/>
          <w14:ligatures w14:val="none"/>
        </w:rPr>
      </w:r>
      <w:r/>
    </w:p>
    <w:p>
      <w:pPr>
        <w:contextualSpacing/>
        <w:ind w:left="0" w:right="0" w:firstLine="0"/>
        <w:jc w:val="center"/>
        <w:widowControl w:val="off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 утверждении требований по предотвращению гибели объектов животного мира при осуществлении производственных процессов, а также </w:t>
        <w:br/>
        <w:t xml:space="preserve">при эксплуатации транспортных магистралей, трубопроводов и линий связи и электропередачи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Белгородской области</w:t>
      </w:r>
      <w:r>
        <w:rPr>
          <w:b/>
          <w:bCs/>
          <w:sz w:val="28"/>
          <w:szCs w:val="28"/>
        </w:rPr>
        <w:t xml:space="preserve"> </w:t>
        <w:br/>
        <w:t xml:space="preserve">и признании утратившим силу постановления Правительства Белгородской области от 16 февраля 2015 года № 54-пп»  </w:t>
      </w:r>
      <w:r>
        <w:rPr>
          <w:b/>
          <w:bCs/>
          <w:sz w:val="28"/>
          <w:szCs w:val="28"/>
          <w14:ligatures w14:val="none"/>
        </w:rPr>
      </w:r>
      <w:r/>
    </w:p>
    <w:p>
      <w:pPr>
        <w:contextualSpacing/>
        <w:ind w:firstLine="540"/>
        <w:jc w:val="both"/>
        <w:widowControl w:val="off"/>
        <w:rPr>
          <w:rFonts w:ascii="PT Astra Serif" w:hAnsi="PT Astra Serif" w:eastAsia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Проект постановления Правительства Белгородской области </w:t>
        <w:br/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требований по предотвращению гибели объектов животного </w:t>
      </w:r>
      <w:r>
        <w:rPr>
          <w:sz w:val="28"/>
          <w:szCs w:val="28"/>
        </w:rPr>
        <w:t xml:space="preserve">мира при осуществлении производственных процессов, а также </w:t>
        <w:br/>
        <w:t xml:space="preserve">при эксплуатации транспортных магистралей, труб</w:t>
      </w:r>
      <w:r>
        <w:rPr>
          <w:sz w:val="28"/>
          <w:szCs w:val="28"/>
        </w:rPr>
        <w:t xml:space="preserve">опроводов и линий связи </w:t>
        <w:br/>
        <w:t xml:space="preserve">и электропе</w:t>
      </w:r>
      <w:r>
        <w:rPr>
          <w:sz w:val="28"/>
          <w:szCs w:val="28"/>
        </w:rPr>
        <w:t xml:space="preserve">редачи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Белгородской области </w:t>
      </w:r>
      <w:r>
        <w:rPr>
          <w:sz w:val="28"/>
          <w:szCs w:val="28"/>
        </w:rPr>
        <w:t xml:space="preserve">и признании утратившим силу постановления Правительства Белгородской области </w:t>
        <w:br/>
        <w:t xml:space="preserve">от 16 февраля 2015 года № 54-пп</w:t>
      </w:r>
      <w:r>
        <w:rPr>
          <w:sz w:val="28"/>
          <w:szCs w:val="28"/>
        </w:rPr>
        <w:t xml:space="preserve">» (далее – проект постановления) разработан </w:t>
      </w:r>
      <w:r>
        <w:rPr>
          <w:sz w:val="28"/>
          <w:szCs w:val="28"/>
        </w:rPr>
        <w:br/>
        <w:t xml:space="preserve">в связи с изданием </w:t>
      </w:r>
      <w:r>
        <w:rPr>
          <w:sz w:val="28"/>
          <w:szCs w:val="28"/>
        </w:rPr>
        <w:t xml:space="preserve">постановления Пра</w:t>
      </w:r>
      <w:r>
        <w:rPr>
          <w:sz w:val="28"/>
          <w:szCs w:val="28"/>
        </w:rPr>
        <w:t xml:space="preserve">вительства Россий</w:t>
      </w:r>
      <w:r>
        <w:rPr>
          <w:sz w:val="28"/>
          <w:szCs w:val="28"/>
        </w:rPr>
        <w:t xml:space="preserve">ской Федерации</w:t>
      </w:r>
      <w:r>
        <w:rPr>
          <w:sz w:val="28"/>
          <w:szCs w:val="28"/>
        </w:rPr>
        <w:t xml:space="preserve"> </w:t>
        <w:br/>
        <w:t xml:space="preserve">от 31 мая 2025 </w:t>
      </w:r>
      <w:r>
        <w:rPr>
          <w:sz w:val="28"/>
          <w:szCs w:val="28"/>
        </w:rPr>
        <w:t xml:space="preserve">года № 813</w:t>
      </w:r>
      <w:r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 xml:space="preserve">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 xml:space="preserve">предотвращения гибели объектов животного ми</w:t>
      </w:r>
      <w:r>
        <w:rPr>
          <w:sz w:val="28"/>
          <w:szCs w:val="28"/>
        </w:rPr>
        <w:t xml:space="preserve">ра, обитающих в условиях естественной свободы, в рез</w:t>
      </w:r>
      <w:r>
        <w:rPr>
          <w:sz w:val="28"/>
          <w:szCs w:val="28"/>
        </w:rPr>
        <w:t xml:space="preserve">ультате изменения среды обитания и нарушения путей миграции, попадания </w:t>
        <w:br/>
        <w:t xml:space="preserve">в водозаборные сооружения, узлы производственного оборудования </w:t>
        <w:br/>
        <w:t xml:space="preserve">и сельскохозяйственных м</w:t>
      </w:r>
      <w:r>
        <w:rPr>
          <w:sz w:val="28"/>
          <w:szCs w:val="28"/>
        </w:rPr>
        <w:t xml:space="preserve">ашин, столкновения с автомобильными и иными транспортными средствами, строительства, реконструкции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капитального ремонта объектов капитального строительства, добычи, переработки </w:t>
        <w:br/>
        <w:t xml:space="preserve">и транспортировки сырья, столкновения с проводами </w:t>
      </w:r>
      <w:r>
        <w:rPr>
          <w:sz w:val="28"/>
          <w:szCs w:val="28"/>
        </w:rPr>
        <w:t xml:space="preserve">и электрошока, воздействия электромагнитных полей, шума, вибрации, технологических процессов животноводства и растениеводства.</w:t>
      </w:r>
      <w:r>
        <w:rPr>
          <w:sz w:val="28"/>
          <w:szCs w:val="28"/>
          <w14:ligatures w14:val="none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Статьей</w:t>
      </w:r>
      <w:hyperlink r:id="rId9" w:tooltip="Федеральный закон от 24.04.1995 N 52-ФЗ (ред. от 30.11.2024) &quot;О животном мире&quot; (с изм. и доп., вступ. в силу с 01.12.2024) {КонсультантПлюс}" w:history="1">
        <w:r>
          <w:rPr>
            <w:sz w:val="28"/>
            <w:szCs w:val="28"/>
          </w:rPr>
          <w:t xml:space="preserve"> 28</w:t>
        </w:r>
      </w:hyperlink>
      <w:r>
        <w:rPr>
          <w:sz w:val="28"/>
          <w:szCs w:val="28"/>
        </w:rPr>
        <w:t xml:space="preserve"> Федерального закона «О животном мире»</w:t>
      </w:r>
      <w:r>
        <w:rPr>
          <w:sz w:val="28"/>
          <w:szCs w:val="28"/>
        </w:rPr>
        <w:t xml:space="preserve"> предусмотрено, что соответств</w:t>
      </w:r>
      <w:r>
        <w:rPr>
          <w:sz w:val="28"/>
          <w:szCs w:val="28"/>
        </w:rPr>
        <w:t xml:space="preserve">ующие требования разрабатываются специально уполномоченными государственными органами по охране, контролю и регулированию использования объектов животного мира и среды их обитания и утверждаются высшим исполнительным органом субъекта Российской Федерации.</w:t>
      </w:r>
      <w:r>
        <w:rPr>
          <w:sz w:val="28"/>
          <w:szCs w:val="28"/>
          <w14:ligatures w14:val="none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связи с принятием представленного проекта постановления признается утратившим силу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Правительства Белгородской области </w:t>
        <w:br/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февраля 2015 года № 54-пп «Об утверждении Требова</w:t>
      </w:r>
      <w:r>
        <w:rPr>
          <w:sz w:val="28"/>
          <w:szCs w:val="28"/>
        </w:rPr>
        <w:t xml:space="preserve">ний </w:t>
        <w:br/>
        <w:t xml:space="preserve">по пр</w:t>
      </w:r>
      <w:r>
        <w:rPr>
          <w:sz w:val="28"/>
          <w:szCs w:val="28"/>
        </w:rPr>
        <w:t xml:space="preserve">едотвращению гибели диких животных при осуществлении хозяйственной деятельности на территории Белгородской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 учетом природно-климатических особенностей Белгородской области </w:t>
        <w:br/>
      </w:r>
      <w:r>
        <w:rPr>
          <w:sz w:val="28"/>
          <w:szCs w:val="28"/>
        </w:rPr>
        <w:t xml:space="preserve">в весенний </w:t>
      </w:r>
      <w:r>
        <w:rPr>
          <w:sz w:val="28"/>
          <w:szCs w:val="28"/>
        </w:rPr>
        <w:t xml:space="preserve">и осенний периоды про</w:t>
      </w:r>
      <w:r>
        <w:rPr>
          <w:sz w:val="28"/>
          <w:szCs w:val="28"/>
        </w:rPr>
        <w:t xml:space="preserve">ходит массовая миграция водоплавающих </w:t>
        <w:br/>
        <w:t xml:space="preserve">и околоводных птиц.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менение</w:t>
      </w:r>
      <w:r>
        <w:rPr>
          <w:sz w:val="28"/>
          <w:szCs w:val="28"/>
        </w:rPr>
        <w:t xml:space="preserve"> уровня воды в водных объектах </w:t>
        <w:br/>
        <w:t xml:space="preserve">и  гидросооружениях </w:t>
      </w:r>
      <w:r>
        <w:rPr>
          <w:sz w:val="28"/>
          <w:szCs w:val="28"/>
        </w:rPr>
        <w:t xml:space="preserve">оказывает значительное</w:t>
      </w:r>
      <w:r>
        <w:rPr>
          <w:sz w:val="28"/>
          <w:szCs w:val="28"/>
        </w:rPr>
        <w:t xml:space="preserve"> влияние на экологические условия </w:t>
      </w:r>
      <w:r>
        <w:rPr>
          <w:sz w:val="28"/>
          <w:szCs w:val="28"/>
        </w:rPr>
        <w:t xml:space="preserve">мест обитания указанных видов птиц.</w:t>
      </w:r>
      <w:r>
        <w:rPr>
          <w:sz w:val="28"/>
          <w:szCs w:val="28"/>
        </w:rPr>
        <w:t xml:space="preserve"> Учитывая специфику </w:t>
      </w:r>
      <w:r>
        <w:rPr>
          <w:sz w:val="28"/>
          <w:szCs w:val="28"/>
        </w:rPr>
        <w:t xml:space="preserve">маловодности региона </w:t>
      </w:r>
      <w:r>
        <w:rPr>
          <w:sz w:val="28"/>
          <w:szCs w:val="28"/>
        </w:rPr>
        <w:t xml:space="preserve">приоритетной задачей является обеспечение защиты и сохранение необходимых условий обитания, способствующих успешной миграции </w:t>
        <w:br/>
        <w:t xml:space="preserve">и размн</w:t>
      </w:r>
      <w:r>
        <w:rPr>
          <w:sz w:val="28"/>
          <w:szCs w:val="28"/>
        </w:rPr>
        <w:t xml:space="preserve">ожению птиц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достижения ука</w:t>
      </w:r>
      <w:r>
        <w:rPr>
          <w:sz w:val="28"/>
          <w:szCs w:val="28"/>
        </w:rPr>
        <w:t xml:space="preserve">занной цели представляется необходимым своевременное согласование режимов регулирования уровня воды в водных объектах. Конкретные сроки начала и завершения периода согласования изменений уровня воды устанавливаются согласно письму Федерального государствен</w:t>
      </w:r>
      <w:r>
        <w:rPr>
          <w:sz w:val="28"/>
          <w:szCs w:val="28"/>
        </w:rPr>
        <w:t xml:space="preserve">ного бюджетного учреждения «Государственный заповедник «Белогорье» от 24 июля 2025 года № 191, содержащему сведения о динамике миграционных процессов и периодах размножения водоплавающих </w:t>
        <w:br/>
        <w:t xml:space="preserve">и околоводных видов птиц.</w:t>
      </w:r>
      <w:r>
        <w:rPr>
          <w:sz w:val="28"/>
          <w:szCs w:val="28"/>
          <w14:ligatures w14:val="none"/>
        </w:rPr>
      </w:r>
      <w:r/>
    </w:p>
    <w:p>
      <w:pPr>
        <w:ind w:firstLine="709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направлен в прокуратуру Белг</w:t>
      </w:r>
      <w:r>
        <w:rPr>
          <w:sz w:val="28"/>
          <w:szCs w:val="28"/>
        </w:rPr>
        <w:t xml:space="preserve">ородской области. Замечания отсутствуют. Также в целях обеспечения проведения независимой антикоррупционной экспертизы проект постановления размещен </w:t>
      </w:r>
      <w:r>
        <w:rPr>
          <w:sz w:val="28"/>
          <w:szCs w:val="28"/>
        </w:rPr>
        <w:br/>
        <w:t xml:space="preserve">на официальном сайте Губернатора и Правительства Белгородской области              в сети Интернет (</w:t>
      </w:r>
      <w:hyperlink r:id="rId10" w:tooltip="http://www.belregion.ru/" w:history="1">
        <w:r>
          <w:rPr>
            <w:sz w:val="28"/>
            <w:szCs w:val="28"/>
          </w:rPr>
          <w:t xml:space="preserve">www.belregion.ru</w:t>
        </w:r>
      </w:hyperlink>
      <w:r>
        <w:rPr>
          <w:sz w:val="28"/>
          <w:szCs w:val="28"/>
        </w:rPr>
        <w:t xml:space="preserve">).</w:t>
      </w:r>
      <w:r/>
    </w:p>
    <w:p>
      <w:pPr>
        <w:ind w:firstLine="709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Принятие настоящего проекта постановления не потребует дополнительных расходов из бюджета.</w:t>
      </w:r>
      <w:r/>
    </w:p>
    <w:p>
      <w:pPr>
        <w:ind w:firstLine="709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740"/>
        <w:tblW w:w="9747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453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eastAsia="PT Astra Serif"/>
                <w:b/>
                <w:bCs/>
                <w:sz w:val="28"/>
                <w:szCs w:val="28"/>
              </w:rPr>
            </w:pPr>
            <w:r>
              <w:rPr>
                <w:rFonts w:eastAsia="PT Astra Serif"/>
                <w:b/>
                <w:sz w:val="28"/>
                <w:szCs w:val="28"/>
              </w:rPr>
              <w:t xml:space="preserve"> </w:t>
            </w:r>
            <w:r>
              <w:rPr>
                <w:rFonts w:eastAsia="PT Astra Serif"/>
                <w:b/>
                <w:sz w:val="28"/>
                <w:szCs w:val="28"/>
              </w:rPr>
              <w:t xml:space="preserve">Начальник управления</w:t>
            </w:r>
            <w:r/>
          </w:p>
          <w:p>
            <w:pPr>
              <w:contextualSpacing/>
              <w:jc w:val="center"/>
              <w:widowControl w:val="off"/>
              <w:rPr>
                <w:rFonts w:eastAsia="PT Astra Serif"/>
                <w:b/>
                <w:sz w:val="28"/>
                <w:szCs w:val="28"/>
              </w:rPr>
            </w:pPr>
            <w:r>
              <w:rPr>
                <w:rFonts w:eastAsia="PT Astra Serif"/>
                <w:b/>
                <w:sz w:val="28"/>
                <w:szCs w:val="28"/>
              </w:rPr>
              <w:t xml:space="preserve">экологического и охотничьего надзора </w:t>
            </w:r>
            <w:r>
              <w:rPr>
                <w:rFonts w:eastAsia="PT Astra Serif"/>
                <w:b/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7" w:type="dxa"/>
            <w:textDirection w:val="lrTb"/>
            <w:noWrap w:val="false"/>
          </w:tcPr>
          <w:p>
            <w:pPr>
              <w:contextualSpacing/>
              <w:ind w:firstLine="709"/>
              <w:jc w:val="center"/>
              <w:widowControl w:val="off"/>
              <w:rPr>
                <w:rFonts w:eastAsia="PT Astra Serif"/>
                <w:b/>
                <w:sz w:val="28"/>
                <w:szCs w:val="28"/>
              </w:rPr>
            </w:pPr>
            <w:r>
              <w:rPr>
                <w:rFonts w:eastAsia="PT Astra Serif"/>
                <w:b/>
                <w:sz w:val="28"/>
                <w:szCs w:val="28"/>
              </w:rPr>
            </w:r>
            <w:r/>
          </w:p>
          <w:p>
            <w:pPr>
              <w:contextualSpacing/>
              <w:widowControl w:val="off"/>
              <w:rPr>
                <w:rFonts w:eastAsia="PT Astra Serif"/>
                <w:b/>
                <w:sz w:val="28"/>
                <w:szCs w:val="28"/>
              </w:rPr>
            </w:pPr>
            <w:r>
              <w:rPr>
                <w:rFonts w:eastAsia="PT Astra Serif"/>
                <w:b/>
                <w:sz w:val="28"/>
                <w:szCs w:val="28"/>
              </w:rPr>
            </w:r>
            <w:r/>
          </w:p>
          <w:p>
            <w:pPr>
              <w:contextualSpacing/>
              <w:ind w:right="-108"/>
              <w:widowControl w:val="off"/>
              <w:rPr>
                <w:rFonts w:eastAsia="PT Astra Serif"/>
                <w:b/>
                <w:bCs/>
                <w:sz w:val="28"/>
                <w:szCs w:val="28"/>
              </w:rPr>
            </w:pPr>
            <w:r>
              <w:rPr>
                <w:rFonts w:eastAsia="PT Astra Serif"/>
                <w:b/>
                <w:sz w:val="28"/>
                <w:szCs w:val="28"/>
              </w:rPr>
              <w:t xml:space="preserve">                                                </w:t>
            </w:r>
            <w:r/>
          </w:p>
          <w:p>
            <w:pPr>
              <w:contextualSpacing/>
              <w:ind w:right="-108"/>
              <w:widowControl w:val="off"/>
              <w:rPr>
                <w:rFonts w:eastAsia="PT Astra Serif"/>
                <w:b/>
                <w:bCs/>
                <w:sz w:val="28"/>
                <w:szCs w:val="28"/>
              </w:rPr>
            </w:pPr>
            <w:r>
              <w:rPr>
                <w:rFonts w:eastAsia="PT Astra Serif"/>
                <w:b/>
                <w:sz w:val="28"/>
                <w:szCs w:val="28"/>
              </w:rPr>
              <w:t xml:space="preserve">                                          А.И. </w:t>
            </w:r>
            <w:r>
              <w:rPr>
                <w:rFonts w:eastAsia="PT Astra Serif"/>
                <w:b/>
                <w:sz w:val="28"/>
                <w:szCs w:val="28"/>
              </w:rPr>
              <w:t xml:space="preserve">Масяев</w:t>
            </w:r>
            <w:r/>
          </w:p>
        </w:tc>
      </w:tr>
    </w:tbl>
    <w:p>
      <w:pPr>
        <w:contextualSpacing/>
        <w:ind w:firstLine="709"/>
        <w:jc w:val="both"/>
        <w:widowControl w:val="off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66894185"/>
      <w:docPartObj>
        <w:docPartGallery w:val="Page Numbers (Top of Page)"/>
        <w:docPartUnique w:val="true"/>
      </w:docPartObj>
      <w:rPr/>
    </w:sdtPr>
    <w:sdtContent>
      <w:p>
        <w:pPr>
          <w:pStyle w:val="72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0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5">
    <w:name w:val="Heading 1"/>
    <w:basedOn w:val="654"/>
    <w:next w:val="654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0">
    <w:name w:val="Heading 6"/>
    <w:basedOn w:val="654"/>
    <w:next w:val="65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next w:val="654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next w:val="654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next w:val="654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Title Char"/>
    <w:basedOn w:val="664"/>
    <w:uiPriority w:val="10"/>
    <w:rPr>
      <w:sz w:val="48"/>
      <w:szCs w:val="48"/>
    </w:rPr>
  </w:style>
  <w:style w:type="character" w:styleId="668" w:customStyle="1">
    <w:name w:val="Subtitle Char"/>
    <w:basedOn w:val="664"/>
    <w:uiPriority w:val="11"/>
    <w:rPr>
      <w:sz w:val="24"/>
      <w:szCs w:val="24"/>
    </w:rPr>
  </w:style>
  <w:style w:type="character" w:styleId="669" w:customStyle="1">
    <w:name w:val="Header Char"/>
    <w:basedOn w:val="664"/>
    <w:uiPriority w:val="99"/>
  </w:style>
  <w:style w:type="character" w:styleId="670" w:customStyle="1">
    <w:name w:val="Caption Char"/>
    <w:uiPriority w:val="99"/>
  </w:style>
  <w:style w:type="character" w:styleId="671" w:customStyle="1">
    <w:name w:val="Footnote Text Char"/>
    <w:uiPriority w:val="99"/>
    <w:rPr>
      <w:sz w:val="18"/>
    </w:rPr>
  </w:style>
  <w:style w:type="character" w:styleId="672" w:customStyle="1">
    <w:name w:val="Endnote Text Char"/>
    <w:uiPriority w:val="99"/>
    <w:rPr>
      <w:sz w:val="20"/>
    </w:rPr>
  </w:style>
  <w:style w:type="character" w:styleId="673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Заголовок Знак1"/>
    <w:basedOn w:val="664"/>
    <w:link w:val="715"/>
    <w:uiPriority w:val="10"/>
    <w:rPr>
      <w:sz w:val="48"/>
      <w:szCs w:val="48"/>
    </w:rPr>
  </w:style>
  <w:style w:type="character" w:styleId="683" w:customStyle="1">
    <w:name w:val="Подзаголовок Знак1"/>
    <w:basedOn w:val="664"/>
    <w:link w:val="722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Верхний колонтитул Знак1"/>
    <w:basedOn w:val="664"/>
    <w:link w:val="726"/>
    <w:uiPriority w:val="99"/>
  </w:style>
  <w:style w:type="character" w:styleId="687" w:customStyle="1">
    <w:name w:val="Нижний колонтитул Знак1"/>
    <w:link w:val="727"/>
    <w:uiPriority w:val="99"/>
  </w:style>
  <w:style w:type="character" w:styleId="688">
    <w:name w:val="Hyperlink"/>
    <w:uiPriority w:val="99"/>
    <w:unhideWhenUsed/>
    <w:rPr>
      <w:color w:val="0000ff" w:themeColor="hyperlink"/>
      <w:u w:val="single"/>
    </w:rPr>
  </w:style>
  <w:style w:type="character" w:styleId="689" w:customStyle="1">
    <w:name w:val="Текст сноски Знак1"/>
    <w:link w:val="728"/>
    <w:uiPriority w:val="99"/>
    <w:rPr>
      <w:sz w:val="18"/>
    </w:rPr>
  </w:style>
  <w:style w:type="character" w:styleId="690">
    <w:name w:val="footnote reference"/>
    <w:basedOn w:val="664"/>
    <w:uiPriority w:val="99"/>
    <w:unhideWhenUsed/>
    <w:rPr>
      <w:vertAlign w:val="superscript"/>
    </w:rPr>
  </w:style>
  <w:style w:type="paragraph" w:styleId="691">
    <w:name w:val="endnote text"/>
    <w:basedOn w:val="654"/>
    <w:link w:val="692"/>
    <w:uiPriority w:val="99"/>
    <w:semiHidden/>
    <w:unhideWhenUsed/>
    <w:rPr>
      <w:sz w:val="20"/>
    </w:rPr>
  </w:style>
  <w:style w:type="character" w:styleId="692" w:customStyle="1">
    <w:name w:val="Текст концевой сноски Знак"/>
    <w:link w:val="691"/>
    <w:uiPriority w:val="99"/>
    <w:rPr>
      <w:sz w:val="20"/>
    </w:rPr>
  </w:style>
  <w:style w:type="character" w:styleId="693">
    <w:name w:val="endnote reference"/>
    <w:basedOn w:val="664"/>
    <w:uiPriority w:val="99"/>
    <w:semiHidden/>
    <w:unhideWhenUsed/>
    <w:rPr>
      <w:vertAlign w:val="superscript"/>
    </w:rPr>
  </w:style>
  <w:style w:type="paragraph" w:styleId="69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695">
    <w:name w:val="table of figures"/>
    <w:basedOn w:val="654"/>
    <w:next w:val="654"/>
    <w:uiPriority w:val="99"/>
    <w:unhideWhenUsed/>
  </w:style>
  <w:style w:type="character" w:styleId="696" w:customStyle="1">
    <w:name w:val="Заголовок 2 Знак"/>
    <w:basedOn w:val="664"/>
    <w:link w:val="656"/>
    <w:uiPriority w:val="9"/>
    <w:qFormat/>
    <w:rPr>
      <w:rFonts w:ascii="Arial" w:hAnsi="Arial" w:eastAsia="Arial" w:cs="Arial"/>
      <w:sz w:val="34"/>
    </w:rPr>
  </w:style>
  <w:style w:type="character" w:styleId="697" w:customStyle="1">
    <w:name w:val="Заголовок 6 Знак"/>
    <w:basedOn w:val="664"/>
    <w:link w:val="66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64"/>
    <w:link w:val="6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64"/>
    <w:link w:val="66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64"/>
    <w:link w:val="66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Заголовок Знак"/>
    <w:basedOn w:val="664"/>
    <w:uiPriority w:val="10"/>
    <w:qFormat/>
    <w:rPr>
      <w:sz w:val="48"/>
      <w:szCs w:val="48"/>
    </w:rPr>
  </w:style>
  <w:style w:type="character" w:styleId="702" w:customStyle="1">
    <w:name w:val="Подзаголовок Знак"/>
    <w:basedOn w:val="664"/>
    <w:uiPriority w:val="11"/>
    <w:qFormat/>
    <w:rPr>
      <w:sz w:val="24"/>
      <w:szCs w:val="24"/>
    </w:rPr>
  </w:style>
  <w:style w:type="character" w:styleId="703" w:customStyle="1">
    <w:name w:val="Цитата 2 Знак"/>
    <w:link w:val="723"/>
    <w:uiPriority w:val="29"/>
    <w:qFormat/>
    <w:rPr>
      <w:i/>
    </w:rPr>
  </w:style>
  <w:style w:type="character" w:styleId="704" w:customStyle="1">
    <w:name w:val="Выделенная цитата Знак"/>
    <w:link w:val="724"/>
    <w:uiPriority w:val="30"/>
    <w:qFormat/>
    <w:rPr>
      <w:i/>
    </w:rPr>
  </w:style>
  <w:style w:type="character" w:styleId="705" w:customStyle="1">
    <w:name w:val="Верхний колонтитул Знак"/>
    <w:basedOn w:val="664"/>
    <w:uiPriority w:val="99"/>
    <w:qFormat/>
  </w:style>
  <w:style w:type="character" w:styleId="706" w:customStyle="1">
    <w:name w:val="Footer Char"/>
    <w:basedOn w:val="664"/>
    <w:uiPriority w:val="99"/>
    <w:qFormat/>
  </w:style>
  <w:style w:type="character" w:styleId="707" w:customStyle="1">
    <w:name w:val="Нижний колонтитул Знак"/>
    <w:uiPriority w:val="99"/>
    <w:qFormat/>
  </w:style>
  <w:style w:type="character" w:styleId="708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709" w:customStyle="1">
    <w:name w:val="Текст сноски Знак"/>
    <w:uiPriority w:val="99"/>
    <w:qFormat/>
    <w:rPr>
      <w:sz w:val="18"/>
    </w:rPr>
  </w:style>
  <w:style w:type="character" w:styleId="710" w:customStyle="1">
    <w:name w:val="Привязка сноски"/>
    <w:rPr>
      <w:vertAlign w:val="superscript"/>
    </w:rPr>
  </w:style>
  <w:style w:type="character" w:styleId="711" w:customStyle="1">
    <w:name w:val="Footnote Characters"/>
    <w:basedOn w:val="664"/>
    <w:uiPriority w:val="99"/>
    <w:unhideWhenUsed/>
    <w:qFormat/>
    <w:rPr>
      <w:vertAlign w:val="superscript"/>
    </w:rPr>
  </w:style>
  <w:style w:type="character" w:styleId="712" w:customStyle="1">
    <w:name w:val="Текст выноски Знак"/>
    <w:basedOn w:val="664"/>
    <w:link w:val="738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713" w:customStyle="1">
    <w:name w:val="Основной текст 3 Знак"/>
    <w:basedOn w:val="664"/>
    <w:link w:val="739"/>
    <w:uiPriority w:val="99"/>
    <w:qFormat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714" w:customStyle="1">
    <w:name w:val="Font Style13"/>
    <w:qFormat/>
    <w:rPr>
      <w:rFonts w:ascii="Times New Roman" w:hAnsi="Times New Roman" w:cs="Times New Roman"/>
      <w:sz w:val="26"/>
      <w:szCs w:val="26"/>
    </w:rPr>
  </w:style>
  <w:style w:type="paragraph" w:styleId="715">
    <w:name w:val="Title"/>
    <w:basedOn w:val="654"/>
    <w:next w:val="716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6">
    <w:name w:val="Body Text"/>
    <w:basedOn w:val="654"/>
    <w:pPr>
      <w:spacing w:after="140" w:line="276" w:lineRule="auto"/>
    </w:pPr>
  </w:style>
  <w:style w:type="paragraph" w:styleId="717">
    <w:name w:val="List"/>
    <w:basedOn w:val="716"/>
    <w:rPr>
      <w:rFonts w:ascii="PT Astra Serif" w:hAnsi="PT Astra Serif" w:cs="Noto Sans Devanagari"/>
    </w:rPr>
  </w:style>
  <w:style w:type="paragraph" w:styleId="718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19">
    <w:name w:val="index heading"/>
    <w:basedOn w:val="715"/>
  </w:style>
  <w:style w:type="paragraph" w:styleId="720">
    <w:name w:val="List Paragraph"/>
    <w:basedOn w:val="654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Subtitle"/>
    <w:basedOn w:val="654"/>
    <w:next w:val="654"/>
    <w:link w:val="683"/>
    <w:uiPriority w:val="11"/>
    <w:qFormat/>
    <w:pPr>
      <w:spacing w:before="200" w:after="200"/>
    </w:pPr>
  </w:style>
  <w:style w:type="paragraph" w:styleId="723">
    <w:name w:val="Quote"/>
    <w:basedOn w:val="654"/>
    <w:next w:val="654"/>
    <w:link w:val="703"/>
    <w:uiPriority w:val="29"/>
    <w:qFormat/>
    <w:pPr>
      <w:ind w:left="720" w:right="720"/>
    </w:pPr>
    <w:rPr>
      <w:i/>
    </w:rPr>
  </w:style>
  <w:style w:type="paragraph" w:styleId="724">
    <w:name w:val="Intense Quote"/>
    <w:basedOn w:val="654"/>
    <w:next w:val="654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5" w:customStyle="1">
    <w:name w:val="Колонтитул"/>
    <w:basedOn w:val="654"/>
    <w:qFormat/>
  </w:style>
  <w:style w:type="paragraph" w:styleId="726">
    <w:name w:val="Header"/>
    <w:basedOn w:val="654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27">
    <w:name w:val="Footer"/>
    <w:basedOn w:val="654"/>
    <w:link w:val="68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28">
    <w:name w:val="footnote text"/>
    <w:basedOn w:val="654"/>
    <w:link w:val="689"/>
    <w:uiPriority w:val="99"/>
    <w:semiHidden/>
    <w:unhideWhenUsed/>
    <w:pPr>
      <w:spacing w:after="40"/>
    </w:pPr>
    <w:rPr>
      <w:sz w:val="18"/>
    </w:rPr>
  </w:style>
  <w:style w:type="paragraph" w:styleId="729">
    <w:name w:val="toc 1"/>
    <w:basedOn w:val="654"/>
    <w:next w:val="654"/>
    <w:uiPriority w:val="39"/>
    <w:unhideWhenUsed/>
    <w:pPr>
      <w:spacing w:after="57"/>
    </w:pPr>
  </w:style>
  <w:style w:type="paragraph" w:styleId="730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731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732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733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734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735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736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737">
    <w:name w:val="TOC Heading"/>
    <w:uiPriority w:val="39"/>
    <w:unhideWhenUsed/>
    <w:pPr>
      <w:spacing w:after="200" w:line="276" w:lineRule="auto"/>
    </w:pPr>
  </w:style>
  <w:style w:type="paragraph" w:styleId="738">
    <w:name w:val="Balloon Text"/>
    <w:basedOn w:val="654"/>
    <w:link w:val="712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39">
    <w:name w:val="Body Text 3"/>
    <w:basedOn w:val="654"/>
    <w:link w:val="713"/>
    <w:uiPriority w:val="99"/>
    <w:unhideWhenUsed/>
    <w:qFormat/>
    <w:pPr>
      <w:spacing w:after="120"/>
    </w:pPr>
    <w:rPr>
      <w:sz w:val="16"/>
      <w:szCs w:val="16"/>
    </w:rPr>
  </w:style>
  <w:style w:type="table" w:styleId="740">
    <w:name w:val="Table Grid"/>
    <w:basedOn w:val="66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1" w:customStyle="1">
    <w:name w:val="Table Grid Light"/>
    <w:basedOn w:val="6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665"/>
    <w:link w:val="65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3">
    <w:name w:val="Plain Table 2"/>
    <w:basedOn w:val="6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4">
    <w:name w:val="Plain Table 3"/>
    <w:basedOn w:val="665"/>
    <w:link w:val="65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665"/>
    <w:link w:val="65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665"/>
    <w:link w:val="65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6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6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6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6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6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6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6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6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6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6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6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6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6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6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6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6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6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6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6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6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6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6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66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70" w:customStyle="1">
    <w:name w:val="Grid Table 4 - Accent 2"/>
    <w:basedOn w:val="66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71" w:customStyle="1">
    <w:name w:val="Grid Table 4 - Accent 3"/>
    <w:basedOn w:val="66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72" w:customStyle="1">
    <w:name w:val="Grid Table 4 - Accent 4"/>
    <w:basedOn w:val="66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73" w:customStyle="1">
    <w:name w:val="Grid Table 4 - Accent 5"/>
    <w:basedOn w:val="66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basedOn w:val="66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6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66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basedOn w:val="66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basedOn w:val="66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basedOn w:val="66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basedOn w:val="6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66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66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66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66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66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66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665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665"/>
    <w:uiPriority w:val="99"/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665"/>
    <w:uiPriority w:val="99"/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665"/>
    <w:uiPriority w:val="99"/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665"/>
    <w:uiPriority w:val="99"/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665"/>
    <w:uiPriority w:val="99"/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665"/>
    <w:uiPriority w:val="99"/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6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66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66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66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66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66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66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10">
    <w:name w:val="List Table 3"/>
    <w:basedOn w:val="6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66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66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66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66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6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66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66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66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66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66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66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6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66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66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66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66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1">
    <w:name w:val="List Table 6 Colorful"/>
    <w:basedOn w:val="6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2" w:customStyle="1">
    <w:name w:val="List Table 6 Colorful - Accent 1"/>
    <w:basedOn w:val="66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34" w:customStyle="1">
    <w:name w:val="List Table 6 Colorful - Accent 3"/>
    <w:basedOn w:val="66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35" w:customStyle="1">
    <w:name w:val="List Table 6 Colorful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36" w:customStyle="1">
    <w:name w:val="List Table 6 Colorful - Accent 5"/>
    <w:basedOn w:val="66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37" w:customStyle="1">
    <w:name w:val="List Table 6 Colorful - Accent 6"/>
    <w:basedOn w:val="66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38">
    <w:name w:val="List Table 7 Colorful"/>
    <w:basedOn w:val="6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66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66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66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66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66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66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46" w:customStyle="1">
    <w:name w:val="Lined - Accent 1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47" w:customStyle="1">
    <w:name w:val="Lined - Accent 2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48" w:customStyle="1">
    <w:name w:val="Lined - Accent 3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49" w:customStyle="1">
    <w:name w:val="Lined - Accent 4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50" w:customStyle="1">
    <w:name w:val="Lined - Accent 5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51" w:customStyle="1">
    <w:name w:val="Lined - Accent 6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52" w:customStyle="1">
    <w:name w:val="Bordered &amp; Lined - Accent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53" w:customStyle="1">
    <w:name w:val="Bordered &amp; Lined - Accent 1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54" w:customStyle="1">
    <w:name w:val="Bordered &amp; Lined - Accent 2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55" w:customStyle="1">
    <w:name w:val="Bordered &amp; Lined - Accent 3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56" w:customStyle="1">
    <w:name w:val="Bordered &amp; Lined - Accent 4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57" w:customStyle="1">
    <w:name w:val="Bordered &amp; Lined - Accent 5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58" w:customStyle="1">
    <w:name w:val="Bordered &amp; Lined - Accent 6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59" w:customStyle="1">
    <w:name w:val="Bordered"/>
    <w:basedOn w:val="66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0" w:customStyle="1">
    <w:name w:val="Bordered - Accent 1"/>
    <w:basedOn w:val="6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basedOn w:val="6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62" w:customStyle="1">
    <w:name w:val="Bordered - Accent 3"/>
    <w:basedOn w:val="6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63" w:customStyle="1">
    <w:name w:val="Bordered - Accent 4"/>
    <w:basedOn w:val="6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64" w:customStyle="1">
    <w:name w:val="Bordered - Accent 5"/>
    <w:basedOn w:val="6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65" w:customStyle="1">
    <w:name w:val="Bordered - Accent 6"/>
    <w:basedOn w:val="6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477384&amp;date=11.07.2025&amp;dst=388&amp;field=134" TargetMode="External"/><Relationship Id="rId10" Type="http://schemas.openxmlformats.org/officeDocument/2006/relationships/hyperlink" Target="http://www.belregion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Толкачёва Ольга Егоровна</dc:creator>
  <dc:description/>
  <dc:language>ru-RU</dc:language>
  <cp:revision>9</cp:revision>
  <dcterms:created xsi:type="dcterms:W3CDTF">2025-03-14T07:14:00Z</dcterms:created>
  <dcterms:modified xsi:type="dcterms:W3CDTF">2025-08-01T11:37:19Z</dcterms:modified>
</cp:coreProperties>
</file>