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bookmarkStart w:id="0" w:name="P439"/>
      <w:r>
        <w:rPr>
          <w:rFonts w:ascii="Times New Roman" w:hAnsi="Times New Roman" w:cs="Times New Roman"/>
          <w:sz w:val="26"/>
          <w:szCs w:val="26"/>
        </w:rPr>
      </w:r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Сводный отчет</w:t>
      </w:r>
      <w:r>
        <w:rPr>
          <w:rFonts w:ascii="Times New Roman" w:hAnsi="Times New Roman" w:cs="Times New Roman"/>
        </w:rPr>
      </w:r>
      <w:r/>
    </w:p>
    <w:p>
      <w:pPr>
        <w:pStyle w:val="83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проведения оценки регулирующего воздействия</w:t>
      </w:r>
      <w:r>
        <w:rPr>
          <w:rFonts w:ascii="Times New Roman" w:hAnsi="Times New Roman" w:cs="Times New Roman"/>
        </w:rPr>
      </w:r>
      <w:r/>
    </w:p>
    <w:p>
      <w:pPr>
        <w:pStyle w:val="83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проекта нормативного правового акта</w:t>
      </w:r>
      <w:r>
        <w:rPr>
          <w:rFonts w:ascii="Times New Roman" w:hAnsi="Times New Roman" w:cs="Times New Roman"/>
        </w:rPr>
      </w:r>
      <w:r/>
    </w:p>
    <w:p>
      <w:pPr>
        <w:pStyle w:val="83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 xml:space="preserve">1. Общая информация: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1.1. Орган-разработчик: </w:t>
      </w:r>
      <w:r>
        <w:rPr>
          <w:rFonts w:ascii="Times New Roman" w:hAnsi="Times New Roman" w:eastAsia="Calibri" w:cs="Times New Roman"/>
          <w:sz w:val="26"/>
          <w:szCs w:val="26"/>
        </w:rPr>
        <w:t xml:space="preserve">управление государственного жилищного надзора Белгородской области.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1.2. Вид и наименование проекта нормативного правового акта: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проект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приказа управления государственного жилищного надзора Белгоро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дской области «Об утверждении административного регламента управления государственного жилищного надзора Белгородской области по предоставлению государственной услуги по лицензированию предпринимательской деятельности</w:t>
        <w:br/>
        <w:t xml:space="preserve">по управлению многоквартирными домами»</w:t>
      </w:r>
      <w:r>
        <w:rPr>
          <w:rFonts w:ascii="Times New Roman" w:hAnsi="Times New Roman" w:eastAsia="Calibri" w:cs="Times New Roman"/>
          <w:b w:val="0"/>
          <w:bCs w:val="0"/>
          <w:sz w:val="26"/>
          <w:szCs w:val="26"/>
        </w:rPr>
        <w:t xml:space="preserve">»</w:t>
      </w:r>
      <w:r>
        <w:rPr>
          <w:rFonts w:ascii="Times New Roman" w:hAnsi="Times New Roman" w:eastAsia="Calibri" w:cs="Times New Roman"/>
          <w:b w:val="0"/>
          <w:bCs w:val="0"/>
          <w:sz w:val="26"/>
          <w:szCs w:val="26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1.3. Сроки проведения публичного обсуждения проекта 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нормативного правового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акта: начало: «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24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октября 2024 г.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окончание «6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ноября 2024 г.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1.4.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Степень регулирующего воздействия проекта нормативного правового акта: </w:t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  <w:t xml:space="preserve">средняя.</w:t>
      </w:r>
      <w:r>
        <w:rPr>
          <w:rFonts w:ascii="Times New Roman" w:hAnsi="Times New Roman" w:eastAsia="Calibri" w:cs="Times New Roman"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</w:rPr>
        <w:t xml:space="preserve">Проект норматив</w:t>
      </w:r>
      <w:r>
        <w:rPr>
          <w:rFonts w:ascii="Times New Roman" w:hAnsi="Times New Roman" w:eastAsia="Calibri" w:cs="Times New Roman"/>
          <w:sz w:val="26"/>
          <w:szCs w:val="26"/>
        </w:rPr>
        <w:t xml:space="preserve">ного правового акта содержит положения, изменяющие условия предоставления государственной услуги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eastAsia="zh-CN"/>
        </w:rPr>
        <w:t xml:space="preserve">по лицензированию предпринимательск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eastAsia="zh-CN"/>
        </w:rPr>
        <w:t xml:space="preserve">ой деятельности по управлению многоквартирными домами,</w:t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eastAsia="zh-CN"/>
        </w:rPr>
        <w:t xml:space="preserve">устанавливает порядок предоставления государственной услуги и стандарт её предоставления.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1.5. Контактная инф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ормация об исполнителе в органе-разработчике: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Ф.И.О.: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Бочарникова Екатерина Николаевна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Должность: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начальник отдела правового обеспечения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 и административного производства управления государственного жилищного надзора Белгородской области,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Тел.: 8 (4722) 34-69-37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 Адрес электронной почты: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ugjn31@belregion.ru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 Описание проблемы, на решение которой направлено вводимое правовое регулирование: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2.1. Проблема, на решение которой направлен предлагаемый спосо</w:t>
      </w:r>
      <w:r>
        <w:rPr>
          <w:rFonts w:ascii="Times New Roman" w:hAnsi="Times New Roman" w:eastAsia="Calibri" w:cs="Times New Roman"/>
          <w:sz w:val="26"/>
          <w:szCs w:val="26"/>
        </w:rPr>
        <w:t xml:space="preserve">б правового регулирования: </w:t>
      </w:r>
      <w:r>
        <w:rPr>
          <w:rFonts w:ascii="Times New Roman" w:hAnsi="Times New Roman" w:cs="Times New Roman"/>
        </w:rPr>
      </w:r>
      <w:r/>
    </w:p>
    <w:p>
      <w:pPr>
        <w:pStyle w:val="638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Проект нормативного акта направлен на улучшение качества предоставления государственной услуги, снижение срока получения государственной услуги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,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а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 так же </w:t>
      </w:r>
      <w:r>
        <w:rPr>
          <w:rFonts w:ascii="Times New Roman" w:hAnsi="Times New Roman" w:eastAsia="Calibri" w:cs="Times New Roman"/>
          <w:sz w:val="26"/>
          <w:szCs w:val="26"/>
          <w:highlight w:val="white"/>
          <w:lang w:eastAsia="en-US"/>
        </w:rPr>
        <w:t xml:space="preserve">приведен в соответствие с действующими нормативными правовыми актами, определяющие порядок и стандарты предоставления государственной услуги по лицензированию предпринимательской деятельности по управлению многоквартирными домами.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2.2. Информация о возникновении и выявлении проблемы: </w:t>
      </w:r>
      <w:r>
        <w:rPr>
          <w:rFonts w:ascii="Times New Roman" w:hAnsi="Times New Roman" w:cs="Times New Roman"/>
        </w:rPr>
      </w:r>
      <w:r/>
    </w:p>
    <w:p>
      <w:pPr>
        <w:pStyle w:val="638"/>
        <w:ind w:left="0" w:right="0" w:firstLine="708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проведенного анализа нормативных правовых актов, в связи</w:t>
        <w:br/>
        <w:t xml:space="preserve">с изменениями, внесёнными в Положение о лицензировании предпринимательской деятельности по управлению многоквартирн</w:t>
      </w:r>
      <w:r>
        <w:rPr>
          <w:rFonts w:ascii="Times New Roman" w:hAnsi="Times New Roman" w:cs="Times New Roman"/>
          <w:sz w:val="26"/>
          <w:szCs w:val="26"/>
        </w:rPr>
        <w:t xml:space="preserve">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домами, утвержденное постановлением Правительства РФ от 28 октября 2014 года № 1110</w:t>
        <w:br/>
        <w:t xml:space="preserve">«О лиц</w:t>
      </w:r>
      <w:r>
        <w:rPr>
          <w:rFonts w:ascii="Times New Roman" w:hAnsi="Times New Roman" w:cs="Times New Roman"/>
          <w:sz w:val="26"/>
          <w:szCs w:val="26"/>
        </w:rPr>
        <w:t xml:space="preserve">ензировании предпринимательской деятельности по управлению многоквартирными домами», с принятием постановления Правительства Белгородской области от 18 июля 2022 года № 431-пп «О порядке разработки и утверждения административных регламентов предоставления 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государственных услуг на территории Белгородской области», и в целях приведения нормативных правовых актов Белгородской области в соответствие с действующим законодательством подготовлен проект приказа управления государственного жилищного надзора Белгород</w:t>
      </w:r>
      <w:r>
        <w:rPr>
          <w:rFonts w:ascii="Times New Roman" w:hAnsi="Times New Roman" w:cs="Times New Roman"/>
          <w:sz w:val="26"/>
          <w:szCs w:val="26"/>
        </w:rPr>
        <w:t xml:space="preserve">ской области «Об утверждении Административного регламента управления государственного жилищного надзора Белгородской области по предоставлению государственной услуги по лицензированию предпринимательской деятельности</w:t>
        <w:br/>
        <w:t xml:space="preserve">по управлению многоквартирными домами».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2.3. Негативные эффекты, возникающие в связи с наличием рассматриваемой </w:t>
      </w:r>
      <w:r>
        <w:rPr>
          <w:rFonts w:ascii="Times New Roman" w:hAnsi="Times New Roman" w:eastAsia="Calibri" w:cs="Times New Roman"/>
          <w:sz w:val="26"/>
          <w:szCs w:val="26"/>
        </w:rPr>
        <w:t xml:space="preserve">проблемы:</w:t>
      </w:r>
      <w:r>
        <w:rPr>
          <w:rFonts w:ascii="Times New Roman" w:hAnsi="Times New Roman" w:cs="Times New Roman"/>
        </w:rPr>
      </w:r>
      <w:r/>
    </w:p>
    <w:p>
      <w:pPr>
        <w:pStyle w:val="638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Отсутствие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четкой формы подачи заявления на предоставление государственной услуги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долгий срок получения результата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государственной услуги по лицензированию предпринимательской деятельности по управлению многоквартирными домами</w:t>
        <w:br/>
        <w:t xml:space="preserve">на территории Белгородской области.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2.4. Анализ опыта иных субъектов Российской Федерации </w:t>
      </w:r>
      <w:r>
        <w:rPr>
          <w:rFonts w:ascii="Times New Roman" w:hAnsi="Times New Roman" w:eastAsia="Calibri" w:cs="Times New Roman"/>
          <w:sz w:val="26"/>
          <w:szCs w:val="26"/>
        </w:rPr>
        <w:br/>
        <w:t xml:space="preserve">в соответствующих сферах деятельности:*</w:t>
      </w:r>
      <w:r>
        <w:rPr>
          <w:rFonts w:ascii="Times New Roman" w:hAnsi="Times New Roman" w:cs="Times New Roman"/>
        </w:rPr>
      </w:r>
      <w:r/>
    </w:p>
    <w:p>
      <w:pPr>
        <w:pStyle w:val="638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В настоящее время в Санкт-Петербурге, Республики Алтай, Татарстан, Волгоградской, Калининградской, Омской области </w:t>
      </w:r>
      <w:r>
        <w:rPr>
          <w:rFonts w:ascii="Times New Roman" w:hAnsi="Times New Roman" w:eastAsia="Calibri" w:cs="Times New Roman"/>
          <w:sz w:val="26"/>
          <w:szCs w:val="26"/>
        </w:rPr>
        <w:t xml:space="preserve">утверждены административные регламенты по предоставлению государственной услуги по лицензированию предпринимательской деятельности по управлению многоквартирными домами.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3.Цели вводимого правового регулирования и измеримые показатели</w:t>
        <w:br/>
        <w:t xml:space="preserve">их достижения: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3.1. Описа</w:t>
      </w:r>
      <w:r>
        <w:rPr>
          <w:rFonts w:ascii="Times New Roman" w:hAnsi="Times New Roman" w:eastAsia="Calibri" w:cs="Times New Roman"/>
          <w:sz w:val="26"/>
          <w:szCs w:val="26"/>
        </w:rPr>
        <w:t xml:space="preserve">ние целей предлагаемого правового регулирования:</w:t>
      </w:r>
      <w:r>
        <w:rPr>
          <w:rFonts w:ascii="Times New Roman" w:hAnsi="Times New Roman" w:cs="Times New Roman"/>
        </w:rPr>
      </w:r>
      <w:r/>
    </w:p>
    <w:p>
      <w:pPr>
        <w:pStyle w:val="638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Создание результативной и эффективной системы по организации предоставления государственной услуги по лицензированию предпринимательской деятельности по управлению многоквартирными домами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на территории Белгородской области.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3.2. Обоснование соответствия целей предлагаемого правового</w:t>
      </w:r>
      <w:r>
        <w:rPr>
          <w:rFonts w:ascii="Times New Roman" w:hAnsi="Times New Roman" w:eastAsia="Calibri" w:cs="Times New Roman"/>
          <w:sz w:val="26"/>
          <w:szCs w:val="26"/>
        </w:rPr>
        <w:t xml:space="preserve"> регулирования принципам правового регулирования:</w:t>
      </w:r>
      <w:r>
        <w:rPr>
          <w:rFonts w:ascii="Times New Roman" w:hAnsi="Times New Roman" w:cs="Times New Roman"/>
        </w:rPr>
      </w:r>
      <w:r/>
    </w:p>
    <w:p>
      <w:pPr>
        <w:pStyle w:val="638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bookmarkStart w:id="0" w:name="undefined"/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- постановление Правительства РФ от 28 октября 2014 года № 1110</w:t>
        <w:br/>
        <w:t xml:space="preserve">«О лицензировании предпринимательской деятельности по управлению многоквартирными домами»;</w:t>
      </w:r>
      <w:r>
        <w:rPr>
          <w:rFonts w:ascii="Times New Roman" w:hAnsi="Times New Roman" w:cs="Times New Roman"/>
        </w:rPr>
      </w:r>
      <w:r/>
    </w:p>
    <w:p>
      <w:pPr>
        <w:pStyle w:val="638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- постановление Правительства Белгородской области от 18 июля 2022 года</w:t>
        <w:br/>
        <w:t xml:space="preserve">№ 431-пп «О порядке разработки и утверждения административных регламентов предоставления государственных услуг на территории Белгородской области».</w:t>
      </w:r>
      <w:bookmarkEnd w:id="0"/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3.3. Сроки достижения целей предлагаемого правового регулирования:</w:t>
      </w:r>
      <w:r>
        <w:rPr>
          <w:rFonts w:ascii="Times New Roman" w:hAnsi="Times New Roman" w:cs="Times New Roman"/>
        </w:rPr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декабрь 2024 год.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3.4.</w:t>
      </w:r>
      <w:r>
        <w:rPr>
          <w:rFonts w:ascii="Times New Roman" w:hAnsi="Times New Roman" w:eastAsia="Calibri" w:cs="Times New Roman"/>
          <w:sz w:val="26"/>
          <w:szCs w:val="26"/>
          <w:lang w:val="en-US"/>
        </w:rPr>
        <w:t xml:space="preserve"> </w:t>
      </w:r>
      <w:r>
        <w:rPr>
          <w:rFonts w:ascii="Times New Roman" w:hAnsi="Times New Roman" w:eastAsia="Calibri" w:cs="Times New Roman"/>
          <w:sz w:val="26"/>
          <w:szCs w:val="26"/>
        </w:rPr>
        <w:t xml:space="preserve">Иная информация о целях предлагаемого правового регулирования: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Отсутствует</w:t>
      </w:r>
      <w:r>
        <w:rPr>
          <w:rFonts w:ascii="Times New Roman" w:hAnsi="Times New Roman" w:cs="Times New Roman"/>
        </w:rPr>
      </w:r>
      <w:r/>
    </w:p>
    <w:p>
      <w:pPr>
        <w:contextualSpacing/>
        <w:ind w:left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</w:rPr>
      </w:r>
      <w:r/>
    </w:p>
    <w:p>
      <w:pPr>
        <w:contextualSpacing/>
        <w:ind w:left="709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 Описание предлагаемого правового регулирования: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4.1. Описание предлагаемого способа решения проблемы и преодоления связанных с ней негативных эффектов:</w:t>
      </w:r>
      <w:r>
        <w:rPr>
          <w:rFonts w:ascii="Times New Roman" w:hAnsi="Times New Roman" w:cs="Times New Roman"/>
        </w:rPr>
      </w:r>
      <w:r/>
    </w:p>
    <w:p>
      <w:pPr>
        <w:pStyle w:val="638"/>
        <w:ind w:left="0" w:righ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Проектом приказа управления государственного жилищного надзора Бел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городской области утверждается административный регламент управления государственного жилищного надзора Белгородской области по предоставлению государственной услуги по лицензированию предпринимательской деятельности</w:t>
        <w:br/>
        <w:t xml:space="preserve">по управлению многоквартирными домами»:</w:t>
      </w:r>
      <w:r>
        <w:rPr>
          <w:rFonts w:ascii="Times New Roman" w:hAnsi="Times New Roman" w:cs="Times New Roman"/>
        </w:rPr>
      </w:r>
      <w:r/>
    </w:p>
    <w:p>
      <w:pPr>
        <w:pStyle w:val="638"/>
        <w:ind w:left="0" w:righ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 структура административного регламента соответствует требованиям постановления Правительства Белгородской области от 18 июля 2022 года № 431-пп;</w:t>
      </w:r>
      <w:r>
        <w:rPr>
          <w:rFonts w:ascii="Times New Roman" w:hAnsi="Times New Roman" w:cs="Times New Roman"/>
        </w:rPr>
      </w:r>
      <w:r/>
    </w:p>
    <w:p>
      <w:pPr>
        <w:pStyle w:val="638"/>
        <w:ind w:left="0" w:righ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 решение о предоставлении (об отказе в предоставлении) лицензии принимается</w:t>
        <w:br/>
        <w:t xml:space="preserve">в срок, не превышающий двадцати трех рабочих дней;</w:t>
      </w:r>
      <w:r>
        <w:rPr>
          <w:rFonts w:ascii="Times New Roman" w:hAnsi="Times New Roman" w:cs="Times New Roman"/>
        </w:rPr>
      </w:r>
      <w:r/>
    </w:p>
    <w:p>
      <w:pPr>
        <w:pStyle w:val="83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- 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услуга предоставляется только через единый портал государственных услуг;</w:t>
      </w:r>
      <w:r>
        <w:rPr>
          <w:rFonts w:ascii="Times New Roman" w:hAnsi="Times New Roman" w:cs="Times New Roman"/>
        </w:rPr>
      </w:r>
      <w:r/>
    </w:p>
    <w:p>
      <w:pPr>
        <w:pStyle w:val="831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-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появилась возможность подать заявление об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eastAsia="ru-RU"/>
        </w:rPr>
        <w:t xml:space="preserve">исправлении допущенных опечаток и (или) ошибок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eastAsia="ru-RU"/>
        </w:rPr>
        <w:t xml:space="preserve">в выданных в результате предоставления услуги документах</w:t>
        <w:br/>
        <w:t xml:space="preserve">и созданных реестровых записях.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4.2. Альтернативные варианты решения проблемы: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</w:rPr>
      </w:r>
      <w:r/>
    </w:p>
    <w:tbl>
      <w:tblPr>
        <w:tblW w:w="0" w:type="auto"/>
        <w:tblInd w:w="-1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75"/>
        <w:gridCol w:w="4782"/>
      </w:tblGrid>
      <w:tr>
        <w:trPr>
          <w:cantSplit w:val="false"/>
          <w:trHeight w:val="8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5" w:type="dxa"/>
            <w:vAlign w:val="center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Предлагаемое регулирование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Альтернативный вариант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3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решения проблемы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5" w:type="dxa"/>
            <w:vAlign w:val="top"/>
            <w:textDirection w:val="lrTb"/>
            <w:noWrap w:val="false"/>
          </w:tcPr>
          <w:p>
            <w:pPr>
              <w:pStyle w:val="638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Решение о предоставлении результата: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38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уменьшении срока рассмотрения заявления с 30 рабочих дней до 23 рабочих дней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2" w:type="dxa"/>
            <w:vAlign w:val="top"/>
            <w:textDirection w:val="lrTb"/>
            <w:noWrap w:val="false"/>
          </w:tcPr>
          <w:p>
            <w:pPr>
              <w:pStyle w:val="638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Решение о предоставлении результата: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38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рассмотрения заявления 30 рабочих дней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 w:val="false"/>
          <w:trHeight w:val="87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5" w:type="dxa"/>
            <w:vAlign w:val="top"/>
            <w:textDirection w:val="lrTb"/>
            <w:noWrap w:val="false"/>
          </w:tcPr>
          <w:p>
            <w:pPr>
              <w:pStyle w:val="638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Форма обращения: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услуга предоставляется только через единый портал государственных услуг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2" w:type="dxa"/>
            <w:vAlign w:val="top"/>
            <w:textDirection w:val="lrTb"/>
            <w:noWrap w:val="false"/>
          </w:tcPr>
          <w:p>
            <w:pPr>
              <w:pStyle w:val="638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Форма обращения: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38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произвольная форма обращения для получения услуги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12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5" w:type="dxa"/>
            <w:vAlign w:val="top"/>
            <w:vMerge w:val="restart"/>
            <w:textDirection w:val="lrTb"/>
            <w:noWrap w:val="false"/>
          </w:tcPr>
          <w:p>
            <w:pPr>
              <w:pStyle w:val="638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Направление результата: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результат предоставления услуги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направляется только через единый портал государственных услуг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2" w:type="dxa"/>
            <w:vAlign w:val="top"/>
            <w:vMerge w:val="restart"/>
            <w:textDirection w:val="lrTb"/>
            <w:noWrap w:val="false"/>
          </w:tcPr>
          <w:p>
            <w:pPr>
              <w:pStyle w:val="638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Направление результата: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38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по форме указанной в заявлении лицензиата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Таким образом, </w:t>
      </w:r>
      <w:r>
        <w:rPr>
          <w:rFonts w:ascii="Times New Roman" w:hAnsi="Times New Roman" w:eastAsia="Calibri" w:cs="Times New Roman"/>
          <w:sz w:val="26"/>
          <w:szCs w:val="26"/>
        </w:rPr>
        <w:t xml:space="preserve">утверждение административного регламента с указанными изменениями является наиболее современным подходом в предоставлении государственной услуги.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4.3. Обоснование выбора предлагаемого способа решения проблемы:</w:t>
      </w:r>
      <w:r>
        <w:rPr>
          <w:rFonts w:ascii="Times New Roman" w:hAnsi="Times New Roman" w:cs="Times New Roman"/>
        </w:rPr>
      </w:r>
      <w:r/>
    </w:p>
    <w:p>
      <w:pPr>
        <w:pStyle w:val="638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Предпочтительным вариантом решения проблемы управление государственного жилищного надзора Белгородской области считает утверждение проекта приказа управления государственного жилищного надзора Белгород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ской области «Об утверждении Административного регламента управления государственного жилищного надзора Белгородской области по предоставлению государственной услуги по лицензированию предпринимательской деятельности по управлению многоквартирными домами».</w:t>
      </w:r>
      <w:r>
        <w:rPr>
          <w:rFonts w:ascii="Times New Roman" w:hAnsi="Times New Roman" w:cs="Times New Roman"/>
        </w:rPr>
      </w:r>
      <w:r/>
    </w:p>
    <w:p>
      <w:pPr>
        <w:pStyle w:val="638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Указанный вариант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позволит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определить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порядок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организации предоставления государственной услуги по лицензированию предпринимательской деятельности</w:t>
        <w:br/>
        <w:t xml:space="preserve">по управлению многоквартирными домами на территории Белгородской области,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позволит уменьшить срок рассмотрения заявления лицензиата на получении государственной услуги, сократит время соискателя лицензии на подготовку пакета документов.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4.4.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регулированием. Оценка их количественного состава: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cs="Times New Roman"/>
        </w:rPr>
      </w:r>
      <w:r/>
    </w:p>
    <w:tbl>
      <w:tblPr>
        <w:tblpPr w:horzAnchor="margin" w:tblpXSpec="left" w:vertAnchor="text" w:tblpY="50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5"/>
        <w:gridCol w:w="4002"/>
      </w:tblGrid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5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Г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руппа участников отношений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Оценка количества участников отношений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5" w:type="dxa"/>
            <w:textDirection w:val="lrTb"/>
            <w:noWrap w:val="false"/>
          </w:tcPr>
          <w:p>
            <w:pPr>
              <w:pStyle w:val="638"/>
              <w:ind w:left="0" w:right="0" w:firstLine="0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iCs/>
                <w:sz w:val="26"/>
                <w:szCs w:val="26"/>
                <w:lang w:eastAsia="en-US"/>
              </w:rPr>
              <w:t xml:space="preserve">Юридические лица, индивидуальные предприниматели, осуществляющие  предпринимательскую деятельность</w:t>
              <w:br/>
              <w:t xml:space="preserve">по управлению многоквартирными домами</w:t>
              <w:br/>
              <w:t xml:space="preserve">на основании лицензии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2" w:type="dxa"/>
            <w:vAlign w:val="center"/>
            <w:textDirection w:val="lrTb"/>
            <w:noWrap w:val="false"/>
          </w:tcPr>
          <w:p>
            <w:pPr>
              <w:pStyle w:val="638"/>
              <w:ind w:right="0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  <w:t xml:space="preserve">Количество лицензиатов  - 140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right="0"/>
              <w:jc w:val="left"/>
              <w:spacing w:after="0" w:afterAutospacing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iCs/>
                <w:sz w:val="26"/>
                <w:szCs w:val="26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4.5. Оценка изменений обязательных требований, обязанностей, ограничений </w:t>
      </w:r>
      <w:r>
        <w:rPr>
          <w:rFonts w:ascii="Times New Roman" w:hAnsi="Times New Roman" w:eastAsia="Calibri" w:cs="Times New Roman"/>
          <w:bCs/>
          <w:sz w:val="26"/>
          <w:szCs w:val="26"/>
        </w:rPr>
        <w:br/>
        <w:t xml:space="preserve">и преи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муществ, ответственности за нарушение нормативных правовых актов Белгородской области, расходов и доходов, а также ожидаемых издержек и выгод </w:t>
      </w:r>
      <w:r>
        <w:rPr>
          <w:rFonts w:ascii="Times New Roman" w:hAnsi="Times New Roman" w:eastAsia="Calibri" w:cs="Times New Roman"/>
          <w:bCs/>
          <w:sz w:val="26"/>
          <w:szCs w:val="26"/>
        </w:rPr>
        <w:br/>
        <w:t xml:space="preserve">для субъектов предпринимательской и иной экономической деятельности, интересы которых затрагиваются вводимым прав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овым регулированием: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eastAsia="Calibri" w:cs="Liberation Serif"/>
          <w:bCs/>
          <w:sz w:val="24"/>
          <w:szCs w:val="24"/>
        </w:rPr>
      </w:r>
      <w:r>
        <w:rPr>
          <w:rFonts w:ascii="Liberation Serif" w:hAnsi="Liberation Serif" w:cs="Liberation Serif"/>
          <w:bCs/>
          <w:sz w:val="24"/>
          <w:szCs w:val="24"/>
        </w:rPr>
      </w:r>
      <w:r/>
    </w:p>
    <w:tbl>
      <w:tblPr>
        <w:tblW w:w="0" w:type="auto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060"/>
        <w:gridCol w:w="2893"/>
        <w:gridCol w:w="3826"/>
      </w:tblGrid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638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eastAsia="en-US"/>
              </w:rPr>
              <w:t xml:space="preserve">Группа участников отношений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vAlign w:val="top"/>
            <w:textDirection w:val="lrTb"/>
            <w:noWrap w:val="false"/>
          </w:tcPr>
          <w:p>
            <w:pPr>
              <w:pStyle w:val="638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eastAsia="en-US"/>
              </w:rPr>
              <w:t xml:space="preserve">Описание новых преимуществ, обязанностей, ограничений </w:t>
              <w:br/>
              <w:t xml:space="preserve">или изменения содержания существующих обязанностей </w:t>
              <w:br/>
              <w:t xml:space="preserve">и ограничений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top"/>
            <w:textDirection w:val="lrTb"/>
            <w:noWrap w:val="false"/>
          </w:tcPr>
          <w:p>
            <w:pPr>
              <w:pStyle w:val="638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eastAsia="en-US"/>
              </w:rPr>
              <w:t xml:space="preserve">Оценка изменения расходов/доходов,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638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eastAsia="en-US"/>
              </w:rPr>
              <w:t xml:space="preserve">издержек/выгод,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638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eastAsia="en-US"/>
              </w:rPr>
              <w:t xml:space="preserve">тыс. 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638"/>
              <w:ind w:left="0" w:right="0" w:firstLine="0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iCs/>
                <w:sz w:val="26"/>
                <w:szCs w:val="26"/>
                <w:lang w:eastAsia="en-US"/>
              </w:rPr>
              <w:t xml:space="preserve">Юридические лица, индивидуальные предприниматели, осуществляющие предпринимательскую деятельность по управлению многоквартирными домами на основании лицензии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vAlign w:val="top"/>
            <w:textDirection w:val="lrTb"/>
            <w:noWrap w:val="false"/>
          </w:tcPr>
          <w:p>
            <w:pPr>
              <w:pStyle w:val="638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/>
                <w:iCs/>
                <w:sz w:val="26"/>
                <w:szCs w:val="26"/>
                <w:lang w:eastAsia="en-US"/>
              </w:rPr>
              <w:t xml:space="preserve">Преимущества: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638"/>
              <w:ind w:left="0" w:right="0" w:firstLine="0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iCs/>
                <w:sz w:val="26"/>
                <w:szCs w:val="26"/>
                <w:shd w:val="clear" w:color="auto" w:fill="auto"/>
                <w:lang w:eastAsia="en-US"/>
              </w:rPr>
              <w:t xml:space="preserve">- сокра</w:t>
            </w:r>
            <w:r>
              <w:rPr>
                <w:rFonts w:ascii="Times New Roman" w:hAnsi="Times New Roman" w:eastAsia="Calibri" w:cs="Times New Roman"/>
                <w:iCs/>
                <w:sz w:val="26"/>
                <w:szCs w:val="26"/>
                <w:shd w:val="clear" w:color="auto" w:fill="auto"/>
                <w:lang w:eastAsia="en-US"/>
              </w:rPr>
              <w:t xml:space="preserve">щение</w:t>
            </w:r>
            <w:r>
              <w:rPr>
                <w:rFonts w:ascii="Times New Roman" w:hAnsi="Times New Roman" w:eastAsia="Calibri" w:cs="Times New Roman"/>
                <w:iCs/>
                <w:sz w:val="26"/>
                <w:szCs w:val="26"/>
                <w:shd w:val="clear" w:color="auto" w:fill="auto"/>
                <w:lang w:eastAsia="en-US"/>
              </w:rPr>
              <w:t xml:space="preserve"> врем</w:t>
            </w:r>
            <w:r>
              <w:rPr>
                <w:rFonts w:ascii="Times New Roman" w:hAnsi="Times New Roman" w:eastAsia="Calibri" w:cs="Times New Roman"/>
                <w:iCs/>
                <w:sz w:val="26"/>
                <w:szCs w:val="26"/>
                <w:shd w:val="clear" w:color="auto" w:fill="auto"/>
                <w:lang w:eastAsia="en-US"/>
              </w:rPr>
              <w:t xml:space="preserve">ени</w:t>
            </w:r>
            <w:r>
              <w:rPr>
                <w:rFonts w:ascii="Times New Roman" w:hAnsi="Times New Roman" w:eastAsia="Calibri" w:cs="Times New Roman"/>
                <w:iCs/>
                <w:sz w:val="26"/>
                <w:szCs w:val="26"/>
                <w:shd w:val="clear" w:color="auto" w:fill="auto"/>
                <w:lang w:eastAsia="en-US"/>
              </w:rPr>
              <w:t xml:space="preserve"> соискателя лицензии на подготовку пакета документов;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638"/>
              <w:ind w:left="0" w:right="0" w:firstLine="0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iCs/>
                <w:sz w:val="26"/>
                <w:szCs w:val="26"/>
                <w:shd w:val="clear" w:color="auto" w:fill="auto"/>
                <w:lang w:eastAsia="en-US"/>
              </w:rPr>
              <w:t xml:space="preserve">- уменьшение срока рассмотрения заявления.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638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/>
                <w:iCs/>
                <w:sz w:val="26"/>
                <w:szCs w:val="26"/>
                <w:lang w:eastAsia="en-US"/>
              </w:rPr>
              <w:t xml:space="preserve">Обязанности: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638"/>
              <w:ind w:left="0" w:right="0" w:firstLine="0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/>
                <w:iCs/>
                <w:sz w:val="26"/>
                <w:szCs w:val="26"/>
                <w:lang w:eastAsia="en-US"/>
              </w:rPr>
              <w:t xml:space="preserve">- </w:t>
            </w:r>
            <w:r>
              <w:rPr>
                <w:rFonts w:ascii="Times New Roman" w:hAnsi="Times New Roman" w:eastAsia="Calibri" w:cs="Times New Roman"/>
                <w:iCs/>
                <w:sz w:val="26"/>
                <w:szCs w:val="26"/>
                <w:lang w:eastAsia="en-US"/>
              </w:rPr>
              <w:t xml:space="preserve">предоставление информации и документов необходимых для получения государственной услуги</w:t>
              <w:br/>
              <w:t xml:space="preserve">по лицензированию предпринимательской деятельности по управлению многоквартирными домами.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top"/>
            <w:textDirection w:val="lrTb"/>
            <w:noWrap w:val="false"/>
          </w:tcPr>
          <w:p>
            <w:pPr>
              <w:pStyle w:val="638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iCs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b/>
                <w:bCs/>
              </w:rPr>
              <w:suppressLineNumbers w:val="0"/>
            </w:pPr>
            <w:r>
              <w:rPr>
                <w:rFonts w:ascii="Times New Roman" w:hAnsi="Times New Roman" w:eastAsia="Calibri" w:cs="Times New Roman"/>
                <w:iCs/>
                <w:sz w:val="26"/>
                <w:szCs w:val="26"/>
                <w:highlight w:val="none"/>
                <w:lang w:eastAsia="en-US"/>
              </w:rPr>
              <w:t xml:space="preserve">Предоставление пакета документов в электронном виде позволит 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 xml:space="preserve">уменьшить 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 xml:space="preserve">расходы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 xml:space="preserve"> заявителей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6"/>
                <w:szCs w:val="26"/>
                <w:shd w:val="clear" w:color="auto" w:fill="ffffff"/>
              </w:rPr>
              <w:t xml:space="preserve">за 5 лет </w:t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6"/>
                <w:szCs w:val="26"/>
                <w:shd w:val="clear" w:color="auto" w:fill="ffffff"/>
              </w:rPr>
              <w:t xml:space="preserve">на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  <w:br/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  <w:shd w:val="clear" w:color="auto" w:fill="ffffff"/>
              </w:rPr>
              <w:t xml:space="preserve">9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shd w:val="clear" w:color="auto" w:fill="ffffff"/>
              </w:rPr>
              <w:t xml:space="preserve">8,75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shd w:val="clear" w:color="auto" w:fill="ffffff"/>
              </w:rPr>
              <w:t xml:space="preserve">тыс. руб.</w:t>
            </w:r>
            <w:r>
              <w:rPr>
                <w:b/>
                <w:bCs/>
              </w:rPr>
            </w:r>
            <w:r/>
          </w:p>
          <w:p>
            <w:pPr>
              <w:pStyle w:val="638"/>
              <w:ind w:left="0" w:right="0" w:firstLine="0"/>
              <w:jc w:val="center"/>
              <w:spacing w:after="0" w:afterAutospacing="0" w:line="240" w:lineRule="auto"/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 xml:space="preserve">(3 чел./часа*235,11 руб.*140 ед).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638"/>
              <w:ind w:left="0" w:right="0" w:firstLine="0"/>
              <w:jc w:val="center"/>
              <w:spacing w:after="0" w:afterAutospacing="0" w:line="240" w:lineRule="auto"/>
              <w:suppressLineNumbers w:val="0"/>
            </w:pPr>
            <w:r>
              <w:rPr>
                <w:rFonts w:ascii="Times New Roman" w:hAnsi="Times New Roman" w:eastAsia="Calibri" w:cs="Times New Roman"/>
                <w:iCs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suppressLineNumbers w:val="0"/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638"/>
              <w:ind w:left="0" w:right="0" w:firstLine="0"/>
              <w:jc w:val="center"/>
              <w:spacing w:after="0" w:afterAutospacing="0" w:line="240" w:lineRule="auto"/>
              <w:suppressLineNumbers w:val="0"/>
            </w:pPr>
            <w:r>
              <w:rPr>
                <w:rFonts w:ascii="Times New Roman" w:hAnsi="Times New Roman" w:eastAsia="Calibri" w:cs="Times New Roman"/>
                <w:iCs/>
                <w:sz w:val="26"/>
                <w:szCs w:val="26"/>
                <w:lang w:eastAsia="en-US"/>
              </w:rPr>
              <w:t xml:space="preserve">Общая стоимость требования</w:t>
              <w:br/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6"/>
                <w:szCs w:val="26"/>
                <w:shd w:val="clear" w:color="auto" w:fill="ffffff"/>
              </w:rPr>
              <w:t xml:space="preserve">за 5 лет </w:t>
            </w:r>
            <w:r>
              <w:rPr>
                <w:rFonts w:ascii="Times New Roman" w:hAnsi="Times New Roman" w:eastAsia="Calibri" w:cs="Times New Roman"/>
                <w:iCs/>
                <w:sz w:val="26"/>
                <w:szCs w:val="26"/>
                <w:lang w:eastAsia="en-US"/>
              </w:rPr>
              <w:t xml:space="preserve"> по предоставлению документов, необходимых для получения услуги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eastAsia="en-US"/>
              </w:rPr>
              <w:t xml:space="preserve"> за 5 лет</w:t>
              <w:br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263,32 тыс.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 руб.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eastAsia="en-US"/>
              </w:rPr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b/>
                <w:bCs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iCs/>
                <w:sz w:val="26"/>
                <w:szCs w:val="26"/>
                <w:highlight w:val="non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(8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чел./часов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235,11 руб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.*140 ед.)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none"/>
                <w:lang w:eastAsia="en-US"/>
              </w:rPr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6"/>
                <w:szCs w:val="26"/>
                <w:highlight w:val="none"/>
                <w:lang w:eastAsia="en-US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sz w:val="26"/>
                <w:szCs w:val="26"/>
                <w:highlight w:val="none"/>
                <w:lang w:eastAsia="en-US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4.6. Новые функции, полномочия, обязанности и права, а также ожидаемые издержки и выгоды органов государственной власти и органов местного самоуправления области или сведения об их изменении:</w:t>
      </w:r>
      <w:r>
        <w:rPr>
          <w:rFonts w:ascii="Times New Roman" w:hAnsi="Times New Roman" w:cs="Times New Roman"/>
          <w:sz w:val="26"/>
          <w:szCs w:val="26"/>
        </w:rPr>
      </w:r>
      <w:r/>
    </w:p>
    <w:tbl>
      <w:tblPr>
        <w:tblpPr w:horzAnchor="margin" w:tblpXSpec="left" w:vertAnchor="text" w:tblpY="75" w:leftFromText="180" w:topFromText="0" w:rightFromText="180" w:bottomFromText="0"/>
        <w:tblW w:w="97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4081"/>
        <w:gridCol w:w="269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Наименование органа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81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Описание новых или изменения существующих функций, полномочий, обязанностей 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br/>
              <w:t xml:space="preserve">или прав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Оценка изменения трудозатрат и (или) потребностей в иных ресурсах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pStyle w:val="638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iCs/>
                <w:sz w:val="26"/>
                <w:szCs w:val="26"/>
                <w:lang w:eastAsia="en-US"/>
              </w:rPr>
              <w:t xml:space="preserve">Управление государственного жилищного надзора Белгородской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81" w:type="dxa"/>
            <w:textDirection w:val="lrTb"/>
            <w:noWrap w:val="false"/>
          </w:tcPr>
          <w:p>
            <w:pPr>
              <w:pStyle w:val="638"/>
              <w:contextualSpacing w:val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  <w:t xml:space="preserve">Предоставление государственной услуги по лицензированию предпринимательской деятельности по управлению многоквартирными домами будет осуществляться в соответствии с 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val="ru-RU" w:eastAsia="en-US"/>
              </w:rPr>
              <w:t xml:space="preserve">ранее установленными полномочиями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contextualSpacing w:val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Дополнительные трудозатраты                        не потребуются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4.7. Оценка расходов (возможных поступлений) консолидированного бюджета Белгородской области:*</w:t>
      </w:r>
      <w:r>
        <w:rPr>
          <w:rFonts w:ascii="Times New Roman" w:hAnsi="Times New Roman" w:cs="Times New Roman"/>
          <w:sz w:val="26"/>
          <w:szCs w:val="26"/>
        </w:rPr>
      </w:r>
      <w:r/>
    </w:p>
    <w:tbl>
      <w:tblPr>
        <w:tblpPr w:horzAnchor="margin" w:tblpXSpec="left" w:vertAnchor="text" w:tblpY="58" w:leftFromText="180" w:topFromText="0" w:rightFromText="180" w:bottomFromText="0"/>
        <w:tblW w:w="97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3973"/>
        <w:gridCol w:w="2976"/>
      </w:tblGrid>
      <w:tr>
        <w:trPr/>
        <w:tc>
          <w:tcPr>
            <w:tcW w:w="2830" w:type="dxa"/>
            <w:textDirection w:val="lrTb"/>
            <w:noWrap w:val="false"/>
          </w:tcPr>
          <w:p>
            <w:pPr>
              <w:ind w:left="-35" w:right="-25" w:firstLine="35"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Описание новых или изменения существующих функций, полномочий, обязанностей или прав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39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Описание видов расходов (возможных поступлений) консолидированного бюджета Белгородской области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Количественная оценка расходов и возможных поступлений,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тыс. 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W w:w="2830" w:type="dxa"/>
            <w:textDirection w:val="lrTb"/>
            <w:noWrap w:val="false"/>
          </w:tcPr>
          <w:p>
            <w:pPr>
              <w:pStyle w:val="638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iCs/>
                <w:sz w:val="26"/>
                <w:szCs w:val="26"/>
                <w:lang w:eastAsia="en-US"/>
              </w:rPr>
              <w:t xml:space="preserve">Управление государственного жилищного надзора Белгородской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3973" w:type="dxa"/>
            <w:textDirection w:val="lrTb"/>
            <w:noWrap w:val="false"/>
          </w:tcPr>
          <w:p>
            <w:pPr>
              <w:pStyle w:val="638"/>
              <w:ind w:righ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  <w:t xml:space="preserve">Взимание с заявителя госуд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  <w:t xml:space="preserve">арственной пошлины за предоставление государственной услуги (предоставление лицензии, переоформление лицензии, выдачу дубликата лицензии) осуществляется в размерах, установленных подпунктом 134 пункта 1 статьи 333.33 Налогового кодекса Российской Федерации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638"/>
              <w:ind w:righ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  <w:t xml:space="preserve">Возможн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  <w:t xml:space="preserve">ые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  <w:t xml:space="preserve"> поступлени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  <w:t xml:space="preserve">я</w:t>
              <w:br/>
              <w:t xml:space="preserve">в бюджет Белгородской области в размере</w:t>
              <w:br/>
              <w:t xml:space="preserve">30 тыс. 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eastAsia="Calibri" w:cs="Liberation Serif"/>
          <w:b/>
          <w:bCs/>
          <w:sz w:val="24"/>
          <w:szCs w:val="24"/>
        </w:rPr>
      </w:r>
      <w:r>
        <w:rPr>
          <w:rFonts w:ascii="Liberation Serif" w:hAnsi="Liberation Serif" w:cs="Liberation Serif"/>
          <w:b/>
          <w:bCs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4.8. Информация о наличии или отсутствии в проекте нормативного правового акта обязательных требований: нормативно-правовой акт не предусматривает обязательных требований.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5. Риски решения проблемы предложенным способом правового регулирования и риски нега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тивных последствий, в том числе для конкуренции, а также описание методов контроля эффективности избранного способа достижения целей регулирования:</w:t>
      </w:r>
      <w:r>
        <w:rPr>
          <w:rFonts w:ascii="Times New Roman" w:hAnsi="Times New Roman" w:cs="Times New Roman"/>
        </w:rPr>
      </w:r>
      <w:r/>
    </w:p>
    <w:tbl>
      <w:tblPr>
        <w:tblpPr w:horzAnchor="margin" w:tblpXSpec="left" w:vertAnchor="text" w:tblpY="189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6"/>
        <w:gridCol w:w="1955"/>
        <w:gridCol w:w="3856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Риски решения проблемы предложенным способом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и риски негативных последствий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Оценка вероятности наступления 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рисков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Методы контроля эффективности избранного способа достижения целей регулирования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cantSplit/>
          <w:trHeight w:val="170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pStyle w:val="638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iCs/>
                <w:sz w:val="26"/>
                <w:szCs w:val="26"/>
                <w:lang w:eastAsia="en-US"/>
              </w:rPr>
              <w:t xml:space="preserve">Не предоставление необходимых документов хозяйствующими субъектами в целях принятии управлением решения о предоставление государственной услуги по лицензированию предпринимательской деятельности по управлению многоквартирными домами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5" w:type="dxa"/>
            <w:vAlign w:val="top"/>
            <w:textDirection w:val="lrTb"/>
            <w:noWrap w:val="false"/>
          </w:tcPr>
          <w:p>
            <w:pPr>
              <w:pStyle w:val="638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iCs/>
                <w:sz w:val="26"/>
                <w:szCs w:val="26"/>
                <w:lang w:eastAsia="en-US"/>
              </w:rPr>
              <w:t xml:space="preserve">Низкая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vAlign w:val="top"/>
            <w:textDirection w:val="lrTb"/>
            <w:noWrap w:val="false"/>
          </w:tcPr>
          <w:p>
            <w:pPr>
              <w:pStyle w:val="638"/>
              <w:contextualSpacing w:val="0"/>
              <w:ind w:right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iCs/>
                <w:sz w:val="26"/>
                <w:szCs w:val="26"/>
                <w:shd w:val="clear" w:color="auto" w:fill="auto"/>
                <w:lang w:eastAsia="en-US"/>
              </w:rPr>
              <w:t xml:space="preserve">Качественная проверка </w:t>
            </w:r>
            <w:r>
              <w:rPr>
                <w:rFonts w:ascii="Times New Roman" w:hAnsi="Times New Roman" w:eastAsia="Calibri" w:cs="Times New Roman"/>
                <w:iCs/>
                <w:sz w:val="26"/>
                <w:szCs w:val="26"/>
                <w:shd w:val="clear" w:color="auto" w:fill="auto"/>
                <w:lang w:eastAsia="en-US"/>
              </w:rPr>
              <w:t xml:space="preserve">пакета документов</w:t>
            </w:r>
            <w:r>
              <w:rPr>
                <w:rFonts w:ascii="Times New Roman" w:hAnsi="Times New Roman" w:eastAsia="Calibri" w:cs="Times New Roman"/>
                <w:iCs/>
                <w:sz w:val="26"/>
                <w:szCs w:val="26"/>
                <w:shd w:val="clear" w:color="auto" w:fill="auto"/>
                <w:lang w:eastAsia="en-US"/>
              </w:rPr>
              <w:t xml:space="preserve"> на стадии направления заявления через единый портал государственных услуг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Calibri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6. Необходимые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 для достижения заявленных целей регулирования организационно-технические, методологические, информационные и иные мероприятия:*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tbl>
      <w:tblPr>
        <w:tblW w:w="0" w:type="auto"/>
        <w:tblInd w:w="-15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849"/>
        <w:gridCol w:w="1559"/>
        <w:gridCol w:w="2267"/>
        <w:gridCol w:w="1560"/>
        <w:gridCol w:w="1559"/>
      </w:tblGrid>
      <w:tr>
        <w:trPr>
          <w:cantSplit w:val="false"/>
          <w:trHeight w:val="1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eastAsia="en-US"/>
              </w:rPr>
              <w:t xml:space="preserve">Мероприятия, необходимые для достижения целей регулирования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eastAsia="en-US"/>
              </w:rPr>
              <w:t xml:space="preserve">Сроки реализации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eastAsia="en-US"/>
              </w:rPr>
              <w:t xml:space="preserve">Описание ожидаемого результата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eastAsia="en-US"/>
              </w:rPr>
              <w:t xml:space="preserve">Объем финансиро-вания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eastAsia="en-US"/>
              </w:rPr>
              <w:t xml:space="preserve">Источники финансиро- 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cantSplit w:val="false"/>
          <w:trHeight w:val="12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9" w:type="dxa"/>
            <w:vAlign w:val="top"/>
            <w:textDirection w:val="lrTb"/>
            <w:noWrap w:val="false"/>
          </w:tcPr>
          <w:p>
            <w:pPr>
              <w:pStyle w:val="831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Ведение журнала учета лицензиатов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контрольных (надзорных) мероприятий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9" w:type="dxa"/>
            <w:vAlign w:val="top"/>
            <w:textDirection w:val="lrTb"/>
            <w:noWrap w:val="false"/>
          </w:tcPr>
          <w:p>
            <w:pPr>
              <w:pStyle w:val="831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Учет субъектов в государственной информационной системе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контрольных (надзорных) мероприятий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9" w:type="dxa"/>
            <w:vAlign w:val="top"/>
            <w:textDirection w:val="lrTb"/>
            <w:noWrap w:val="false"/>
          </w:tcPr>
          <w:p>
            <w:pPr>
              <w:pStyle w:val="831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ежегодного доклада о состоянии регионального государственного надзора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Профилактика, минимизация наступления рисков причинения вреда (ущерба)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9" w:type="dxa"/>
            <w:vAlign w:val="top"/>
            <w:textDirection w:val="lrTb"/>
            <w:noWrap w:val="false"/>
          </w:tcPr>
          <w:p>
            <w:pPr>
              <w:pStyle w:val="831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(разъяснение по вопросам, связанным с предоставлением государственной услуги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мере необходи-мости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Профилактика, минимизация наступления рисков причинения вреда (ущерба)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</w:tbl>
    <w:p>
      <w:pPr>
        <w:ind w:firstLine="709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eastAsia="Calibri" w:cs="Liberation Serif"/>
          <w:b/>
          <w:bCs/>
          <w:sz w:val="24"/>
          <w:szCs w:val="24"/>
        </w:rPr>
      </w:r>
      <w:r>
        <w:rPr>
          <w:rFonts w:ascii="Liberation Serif" w:hAnsi="Liberation Serif" w:cs="Liberation Serif"/>
          <w:b/>
          <w:bCs/>
          <w:sz w:val="24"/>
          <w:szCs w:val="24"/>
        </w:rPr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  <w:highlight w:val="none"/>
        </w:rPr>
      </w:r>
      <w:r>
        <w:rPr>
          <w:rFonts w:ascii="Times New Roman" w:hAnsi="Times New Roman" w:eastAsia="Calibri" w:cs="Times New Roman"/>
          <w:bCs/>
          <w:sz w:val="26"/>
          <w:szCs w:val="26"/>
          <w:highlight w:val="none"/>
        </w:rPr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bCs/>
          <w:sz w:val="26"/>
          <w:szCs w:val="26"/>
          <w:highlight w:val="none"/>
        </w:rPr>
      </w:r>
      <w:r>
        <w:rPr>
          <w:rFonts w:ascii="Times New Roman" w:hAnsi="Times New Roman" w:eastAsia="Calibri" w:cs="Times New Roman"/>
          <w:bCs/>
          <w:sz w:val="26"/>
          <w:szCs w:val="26"/>
          <w:highlight w:val="none"/>
        </w:rPr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7. Ожидаемые измеримые результаты правового регулирования:*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tbl>
      <w:tblPr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1701"/>
        <w:gridCol w:w="2126"/>
        <w:gridCol w:w="1697"/>
      </w:tblGrid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Ключевые показатели достижения целей, заявленных 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br/>
              <w:t xml:space="preserve">в предложенном регулировании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Коли-чествнное значение ключевых показателей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Методы контроля эффективности достижения целей правового регулирования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Срок оценки достижения ключевых показателей 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br/>
              <w:t xml:space="preserve">(не более 5 лет)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183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2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выданных (переоформленных) лицензий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638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Анализ количества выданных (переоформленных) лицензий  за истекший период (1 год)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pStyle w:val="638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30.12.25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8. Предполагаемая дата вступления в силу проекта нормативного правового акта: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 4</w:t>
      </w:r>
      <w:r>
        <w:rPr>
          <w:rFonts w:ascii="Times New Roman" w:hAnsi="Times New Roman" w:eastAsia="Calibri" w:cs="Times New Roman"/>
          <w:sz w:val="26"/>
          <w:szCs w:val="26"/>
        </w:rPr>
        <w:t xml:space="preserve"> квартал 2024 года.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</w:rPr>
      </w:r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23"/>
        <w:gridCol w:w="262"/>
        <w:gridCol w:w="1701"/>
        <w:gridCol w:w="322"/>
        <w:gridCol w:w="445"/>
        <w:gridCol w:w="1785"/>
      </w:tblGrid>
      <w:tr>
        <w:trPr>
          <w:trHeight w:val="679"/>
        </w:trPr>
        <w:tc>
          <w:tcPr>
            <w:shd w:val="clear" w:color="ffffff" w:fill="ffffff"/>
            <w:tcW w:w="51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Начальник управления государственного жилищного надзора 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7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bottom w:val="single" w:color="000000" w:sz="4" w:space="0"/>
            </w:tcBorders>
            <w:tcW w:w="51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М.И. Бредихин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3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</w:tcBorders>
            <w:tcW w:w="51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(инициалы, фамилия)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(дата 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</w:tcBorders>
            <w:tcW w:w="17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(подпись)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Times New Roman" w:cs="Liberation Serif"/>
          <w:sz w:val="26"/>
          <w:szCs w:val="26"/>
          <w:lang w:eastAsia="ru-RU"/>
        </w:rPr>
      </w:r>
      <w:r>
        <w:rPr>
          <w:rFonts w:ascii="Liberation Serif" w:hAnsi="Liberation Serif" w:cs="Liberation Serif"/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567" w:right="566" w:bottom="568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7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7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 w:default="1">
    <w:name w:val="Normal"/>
    <w:qFormat/>
  </w:style>
  <w:style w:type="paragraph" w:styleId="639">
    <w:name w:val="Heading 1"/>
    <w:basedOn w:val="638"/>
    <w:next w:val="638"/>
    <w:link w:val="66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40">
    <w:name w:val="Heading 2"/>
    <w:basedOn w:val="638"/>
    <w:next w:val="638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41">
    <w:name w:val="Heading 3"/>
    <w:basedOn w:val="638"/>
    <w:next w:val="638"/>
    <w:link w:val="66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42">
    <w:name w:val="Heading 4"/>
    <w:basedOn w:val="638"/>
    <w:next w:val="638"/>
    <w:link w:val="66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3">
    <w:name w:val="Heading 5"/>
    <w:basedOn w:val="638"/>
    <w:next w:val="638"/>
    <w:link w:val="67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638"/>
    <w:next w:val="638"/>
    <w:link w:val="67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45">
    <w:name w:val="Heading 7"/>
    <w:basedOn w:val="638"/>
    <w:next w:val="638"/>
    <w:link w:val="67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46">
    <w:name w:val="Heading 8"/>
    <w:basedOn w:val="638"/>
    <w:next w:val="638"/>
    <w:link w:val="67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47">
    <w:name w:val="Heading 9"/>
    <w:basedOn w:val="638"/>
    <w:next w:val="638"/>
    <w:link w:val="67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8" w:default="1">
    <w:name w:val="Default Paragraph Font"/>
    <w:uiPriority w:val="1"/>
    <w:semiHidden/>
    <w:unhideWhenUsed/>
  </w:style>
  <w:style w:type="table" w:styleId="6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0" w:default="1">
    <w:name w:val="No List"/>
    <w:uiPriority w:val="99"/>
    <w:semiHidden/>
    <w:unhideWhenUsed/>
  </w:style>
  <w:style w:type="character" w:styleId="651" w:customStyle="1">
    <w:name w:val="Heading 1 Char"/>
    <w:basedOn w:val="648"/>
    <w:uiPriority w:val="9"/>
    <w:rPr>
      <w:rFonts w:ascii="Arial" w:hAnsi="Arial" w:eastAsia="Arial" w:cs="Arial"/>
      <w:sz w:val="40"/>
      <w:szCs w:val="40"/>
    </w:rPr>
  </w:style>
  <w:style w:type="character" w:styleId="652" w:customStyle="1">
    <w:name w:val="Heading 2 Char"/>
    <w:basedOn w:val="648"/>
    <w:uiPriority w:val="9"/>
    <w:rPr>
      <w:rFonts w:ascii="Arial" w:hAnsi="Arial" w:eastAsia="Arial" w:cs="Arial"/>
      <w:sz w:val="34"/>
    </w:rPr>
  </w:style>
  <w:style w:type="character" w:styleId="653" w:customStyle="1">
    <w:name w:val="Heading 3 Char"/>
    <w:basedOn w:val="648"/>
    <w:uiPriority w:val="9"/>
    <w:rPr>
      <w:rFonts w:ascii="Arial" w:hAnsi="Arial" w:eastAsia="Arial" w:cs="Arial"/>
      <w:sz w:val="30"/>
      <w:szCs w:val="30"/>
    </w:rPr>
  </w:style>
  <w:style w:type="character" w:styleId="654" w:customStyle="1">
    <w:name w:val="Heading 4 Char"/>
    <w:basedOn w:val="648"/>
    <w:uiPriority w:val="9"/>
    <w:rPr>
      <w:rFonts w:ascii="Arial" w:hAnsi="Arial" w:eastAsia="Arial" w:cs="Arial"/>
      <w:b/>
      <w:bCs/>
      <w:sz w:val="26"/>
      <w:szCs w:val="26"/>
    </w:rPr>
  </w:style>
  <w:style w:type="character" w:styleId="655" w:customStyle="1">
    <w:name w:val="Heading 5 Char"/>
    <w:basedOn w:val="648"/>
    <w:uiPriority w:val="9"/>
    <w:rPr>
      <w:rFonts w:ascii="Arial" w:hAnsi="Arial" w:eastAsia="Arial" w:cs="Arial"/>
      <w:b/>
      <w:bCs/>
      <w:sz w:val="24"/>
      <w:szCs w:val="24"/>
    </w:rPr>
  </w:style>
  <w:style w:type="character" w:styleId="656" w:customStyle="1">
    <w:name w:val="Heading 6 Char"/>
    <w:basedOn w:val="648"/>
    <w:uiPriority w:val="9"/>
    <w:rPr>
      <w:rFonts w:ascii="Arial" w:hAnsi="Arial" w:eastAsia="Arial" w:cs="Arial"/>
      <w:b/>
      <w:bCs/>
      <w:sz w:val="22"/>
      <w:szCs w:val="22"/>
    </w:rPr>
  </w:style>
  <w:style w:type="character" w:styleId="657" w:customStyle="1">
    <w:name w:val="Heading 7 Char"/>
    <w:basedOn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8" w:customStyle="1">
    <w:name w:val="Heading 8 Char"/>
    <w:basedOn w:val="648"/>
    <w:uiPriority w:val="9"/>
    <w:rPr>
      <w:rFonts w:ascii="Arial" w:hAnsi="Arial" w:eastAsia="Arial" w:cs="Arial"/>
      <w:i/>
      <w:iCs/>
      <w:sz w:val="22"/>
      <w:szCs w:val="22"/>
    </w:rPr>
  </w:style>
  <w:style w:type="character" w:styleId="659" w:customStyle="1">
    <w:name w:val="Heading 9 Char"/>
    <w:basedOn w:val="648"/>
    <w:uiPriority w:val="9"/>
    <w:rPr>
      <w:rFonts w:ascii="Arial" w:hAnsi="Arial" w:eastAsia="Arial" w:cs="Arial"/>
      <w:i/>
      <w:iCs/>
      <w:sz w:val="21"/>
      <w:szCs w:val="21"/>
    </w:rPr>
  </w:style>
  <w:style w:type="character" w:styleId="660" w:customStyle="1">
    <w:name w:val="Title Char"/>
    <w:basedOn w:val="648"/>
    <w:uiPriority w:val="10"/>
    <w:rPr>
      <w:sz w:val="48"/>
      <w:szCs w:val="48"/>
    </w:rPr>
  </w:style>
  <w:style w:type="character" w:styleId="661" w:customStyle="1">
    <w:name w:val="Subtitle Char"/>
    <w:basedOn w:val="648"/>
    <w:uiPriority w:val="11"/>
    <w:rPr>
      <w:sz w:val="24"/>
      <w:szCs w:val="24"/>
    </w:rPr>
  </w:style>
  <w:style w:type="character" w:styleId="662" w:customStyle="1">
    <w:name w:val="Quote Char"/>
    <w:uiPriority w:val="29"/>
    <w:rPr>
      <w:i/>
    </w:rPr>
  </w:style>
  <w:style w:type="character" w:styleId="663" w:customStyle="1">
    <w:name w:val="Intense Quote Char"/>
    <w:uiPriority w:val="30"/>
    <w:rPr>
      <w:i/>
    </w:rPr>
  </w:style>
  <w:style w:type="character" w:styleId="664" w:customStyle="1">
    <w:name w:val="Footnote Text Char"/>
    <w:uiPriority w:val="99"/>
    <w:rPr>
      <w:sz w:val="18"/>
    </w:rPr>
  </w:style>
  <w:style w:type="character" w:styleId="665" w:customStyle="1">
    <w:name w:val="Endnote Text Char"/>
    <w:uiPriority w:val="99"/>
    <w:rPr>
      <w:sz w:val="20"/>
    </w:rPr>
  </w:style>
  <w:style w:type="character" w:styleId="666" w:customStyle="1">
    <w:name w:val="Заголовок 1 Знак"/>
    <w:basedOn w:val="648"/>
    <w:link w:val="639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48"/>
    <w:link w:val="640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48"/>
    <w:link w:val="641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48"/>
    <w:link w:val="642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48"/>
    <w:link w:val="643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48"/>
    <w:link w:val="644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48"/>
    <w:link w:val="6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48"/>
    <w:link w:val="646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48"/>
    <w:link w:val="647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No Spacing"/>
    <w:uiPriority w:val="1"/>
    <w:qFormat/>
    <w:pPr>
      <w:spacing w:after="0" w:line="240" w:lineRule="auto"/>
    </w:pPr>
  </w:style>
  <w:style w:type="paragraph" w:styleId="676">
    <w:name w:val="Title"/>
    <w:basedOn w:val="638"/>
    <w:next w:val="638"/>
    <w:link w:val="677"/>
    <w:uiPriority w:val="10"/>
    <w:qFormat/>
    <w:pPr>
      <w:contextualSpacing/>
      <w:spacing w:before="300"/>
    </w:pPr>
    <w:rPr>
      <w:sz w:val="48"/>
      <w:szCs w:val="48"/>
    </w:rPr>
  </w:style>
  <w:style w:type="character" w:styleId="677" w:customStyle="1">
    <w:name w:val="Заголовок Знак"/>
    <w:basedOn w:val="648"/>
    <w:link w:val="676"/>
    <w:uiPriority w:val="10"/>
    <w:rPr>
      <w:sz w:val="48"/>
      <w:szCs w:val="48"/>
    </w:rPr>
  </w:style>
  <w:style w:type="paragraph" w:styleId="678">
    <w:name w:val="Subtitle"/>
    <w:basedOn w:val="638"/>
    <w:next w:val="638"/>
    <w:link w:val="679"/>
    <w:uiPriority w:val="11"/>
    <w:qFormat/>
    <w:pPr>
      <w:spacing w:before="200"/>
    </w:pPr>
    <w:rPr>
      <w:sz w:val="24"/>
      <w:szCs w:val="24"/>
    </w:rPr>
  </w:style>
  <w:style w:type="character" w:styleId="679" w:customStyle="1">
    <w:name w:val="Подзаголовок Знак"/>
    <w:basedOn w:val="648"/>
    <w:link w:val="678"/>
    <w:uiPriority w:val="11"/>
    <w:rPr>
      <w:sz w:val="24"/>
      <w:szCs w:val="24"/>
    </w:rPr>
  </w:style>
  <w:style w:type="paragraph" w:styleId="680">
    <w:name w:val="Quote"/>
    <w:basedOn w:val="638"/>
    <w:next w:val="638"/>
    <w:link w:val="681"/>
    <w:uiPriority w:val="29"/>
    <w:qFormat/>
    <w:pPr>
      <w:ind w:left="720" w:right="720"/>
    </w:pPr>
    <w:rPr>
      <w:i/>
    </w:rPr>
  </w:style>
  <w:style w:type="character" w:styleId="681" w:customStyle="1">
    <w:name w:val="Цитата 2 Знак"/>
    <w:link w:val="680"/>
    <w:uiPriority w:val="29"/>
    <w:rPr>
      <w:i/>
    </w:rPr>
  </w:style>
  <w:style w:type="paragraph" w:styleId="682">
    <w:name w:val="Intense Quote"/>
    <w:basedOn w:val="638"/>
    <w:next w:val="638"/>
    <w:link w:val="68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 w:customStyle="1">
    <w:name w:val="Выделенная цитата Знак"/>
    <w:link w:val="682"/>
    <w:uiPriority w:val="30"/>
    <w:rPr>
      <w:i/>
    </w:rPr>
  </w:style>
  <w:style w:type="character" w:styleId="684" w:customStyle="1">
    <w:name w:val="Header Char"/>
    <w:basedOn w:val="648"/>
    <w:uiPriority w:val="99"/>
  </w:style>
  <w:style w:type="character" w:styleId="685" w:customStyle="1">
    <w:name w:val="Footer Char"/>
    <w:basedOn w:val="648"/>
    <w:uiPriority w:val="99"/>
  </w:style>
  <w:style w:type="paragraph" w:styleId="686">
    <w:name w:val="Caption"/>
    <w:basedOn w:val="638"/>
    <w:next w:val="63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87" w:customStyle="1">
    <w:name w:val="Caption Char"/>
    <w:uiPriority w:val="99"/>
  </w:style>
  <w:style w:type="table" w:styleId="688">
    <w:name w:val="Table Grid"/>
    <w:basedOn w:val="64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9" w:customStyle="1">
    <w:name w:val="Table Grid Light"/>
    <w:basedOn w:val="64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0">
    <w:name w:val="Plain Table 1"/>
    <w:basedOn w:val="64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4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 w:customStyle="1">
    <w:name w:val="Grid Table 4 - Accent 1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8" w:customStyle="1">
    <w:name w:val="Grid Table 4 - Accent 2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9" w:customStyle="1">
    <w:name w:val="Grid Table 4 - Accent 3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0" w:customStyle="1">
    <w:name w:val="Grid Table 4 - Accent 4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1" w:customStyle="1">
    <w:name w:val="Grid Table 4 - Accent 5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2" w:customStyle="1">
    <w:name w:val="Grid Table 4 - Accent 6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3">
    <w:name w:val="Grid Table 5 Dark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0">
    <w:name w:val="Grid Table 6 Colorful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1" w:customStyle="1">
    <w:name w:val="Grid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2" w:customStyle="1">
    <w:name w:val="Grid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3" w:customStyle="1">
    <w:name w:val="Grid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4" w:customStyle="1">
    <w:name w:val="Grid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5" w:customStyle="1">
    <w:name w:val="Grid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6" w:customStyle="1">
    <w:name w:val="Grid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7">
    <w:name w:val="Grid Table 7 Colorful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8" w:customStyle="1">
    <w:name w:val="Grid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9" w:customStyle="1">
    <w:name w:val="Grid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0" w:customStyle="1">
    <w:name w:val="Grid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1" w:customStyle="1">
    <w:name w:val="Grid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2" w:customStyle="1">
    <w:name w:val="Grid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3" w:customStyle="1">
    <w:name w:val="Grid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4">
    <w:name w:val="List Table 1 Light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1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2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3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4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5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6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>
    <w:name w:val="List Table 6 Colorful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0" w:customStyle="1">
    <w:name w:val="List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1" w:customStyle="1">
    <w:name w:val="List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2" w:customStyle="1">
    <w:name w:val="List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3" w:customStyle="1">
    <w:name w:val="List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4" w:customStyle="1">
    <w:name w:val="List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5" w:customStyle="1">
    <w:name w:val="List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6">
    <w:name w:val="List Table 7 Colorful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7" w:customStyle="1">
    <w:name w:val="List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 w:customStyle="1">
    <w:name w:val="List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List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List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List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List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Lined - Accent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4" w:customStyle="1">
    <w:name w:val="Lined - Accent 1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5" w:customStyle="1">
    <w:name w:val="Lined - Accent 2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6" w:customStyle="1">
    <w:name w:val="Lined - Accent 3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7" w:customStyle="1">
    <w:name w:val="Lined - Accent 4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8" w:customStyle="1">
    <w:name w:val="Lined - Accent 5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9" w:customStyle="1">
    <w:name w:val="Lined - Accent 6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0" w:customStyle="1">
    <w:name w:val="Bordered &amp; Lined - Accent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1" w:customStyle="1">
    <w:name w:val="Bordered &amp; Lined - Accent 1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2" w:customStyle="1">
    <w:name w:val="Bordered &amp; Lined - Accent 2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3" w:customStyle="1">
    <w:name w:val="Bordered &amp; Lined - Accent 3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4" w:customStyle="1">
    <w:name w:val="Bordered &amp; Lined - Accent 4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5" w:customStyle="1">
    <w:name w:val="Bordered &amp; Lined - Accent 5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6" w:customStyle="1">
    <w:name w:val="Bordered &amp; Lined - Accent 6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7" w:customStyle="1">
    <w:name w:val="Bordered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8" w:customStyle="1">
    <w:name w:val="Bordered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9" w:customStyle="1">
    <w:name w:val="Bordered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0" w:customStyle="1">
    <w:name w:val="Bordered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1" w:customStyle="1">
    <w:name w:val="Bordered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2" w:customStyle="1">
    <w:name w:val="Bordered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3" w:customStyle="1">
    <w:name w:val="Bordered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14">
    <w:name w:val="footnote text"/>
    <w:basedOn w:val="638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 w:customStyle="1">
    <w:name w:val="Текст сноски Знак"/>
    <w:link w:val="814"/>
    <w:uiPriority w:val="99"/>
    <w:rPr>
      <w:sz w:val="18"/>
    </w:rPr>
  </w:style>
  <w:style w:type="character" w:styleId="816">
    <w:name w:val="footnote reference"/>
    <w:basedOn w:val="648"/>
    <w:uiPriority w:val="99"/>
    <w:unhideWhenUsed/>
    <w:rPr>
      <w:vertAlign w:val="superscript"/>
    </w:rPr>
  </w:style>
  <w:style w:type="paragraph" w:styleId="817">
    <w:name w:val="endnote text"/>
    <w:basedOn w:val="638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 w:customStyle="1">
    <w:name w:val="Текст концевой сноски Знак"/>
    <w:link w:val="817"/>
    <w:uiPriority w:val="99"/>
    <w:rPr>
      <w:sz w:val="20"/>
    </w:rPr>
  </w:style>
  <w:style w:type="character" w:styleId="819">
    <w:name w:val="endnote reference"/>
    <w:basedOn w:val="648"/>
    <w:uiPriority w:val="99"/>
    <w:semiHidden/>
    <w:unhideWhenUsed/>
    <w:rPr>
      <w:vertAlign w:val="superscript"/>
    </w:rPr>
  </w:style>
  <w:style w:type="paragraph" w:styleId="820">
    <w:name w:val="toc 1"/>
    <w:basedOn w:val="638"/>
    <w:next w:val="638"/>
    <w:uiPriority w:val="39"/>
    <w:unhideWhenUsed/>
    <w:pPr>
      <w:spacing w:after="57"/>
    </w:pPr>
  </w:style>
  <w:style w:type="paragraph" w:styleId="821">
    <w:name w:val="toc 2"/>
    <w:basedOn w:val="638"/>
    <w:next w:val="638"/>
    <w:uiPriority w:val="39"/>
    <w:unhideWhenUsed/>
    <w:pPr>
      <w:ind w:left="283"/>
      <w:spacing w:after="57"/>
    </w:pPr>
  </w:style>
  <w:style w:type="paragraph" w:styleId="822">
    <w:name w:val="toc 3"/>
    <w:basedOn w:val="638"/>
    <w:next w:val="638"/>
    <w:uiPriority w:val="39"/>
    <w:unhideWhenUsed/>
    <w:pPr>
      <w:ind w:left="567"/>
      <w:spacing w:after="57"/>
    </w:pPr>
  </w:style>
  <w:style w:type="paragraph" w:styleId="823">
    <w:name w:val="toc 4"/>
    <w:basedOn w:val="638"/>
    <w:next w:val="638"/>
    <w:uiPriority w:val="39"/>
    <w:unhideWhenUsed/>
    <w:pPr>
      <w:ind w:left="850"/>
      <w:spacing w:after="57"/>
    </w:pPr>
  </w:style>
  <w:style w:type="paragraph" w:styleId="824">
    <w:name w:val="toc 5"/>
    <w:basedOn w:val="638"/>
    <w:next w:val="638"/>
    <w:uiPriority w:val="39"/>
    <w:unhideWhenUsed/>
    <w:pPr>
      <w:ind w:left="1134"/>
      <w:spacing w:after="57"/>
    </w:pPr>
  </w:style>
  <w:style w:type="paragraph" w:styleId="825">
    <w:name w:val="toc 6"/>
    <w:basedOn w:val="638"/>
    <w:next w:val="638"/>
    <w:uiPriority w:val="39"/>
    <w:unhideWhenUsed/>
    <w:pPr>
      <w:ind w:left="1417"/>
      <w:spacing w:after="57"/>
    </w:pPr>
  </w:style>
  <w:style w:type="paragraph" w:styleId="826">
    <w:name w:val="toc 7"/>
    <w:basedOn w:val="638"/>
    <w:next w:val="638"/>
    <w:uiPriority w:val="39"/>
    <w:unhideWhenUsed/>
    <w:pPr>
      <w:ind w:left="1701"/>
      <w:spacing w:after="57"/>
    </w:pPr>
  </w:style>
  <w:style w:type="paragraph" w:styleId="827">
    <w:name w:val="toc 8"/>
    <w:basedOn w:val="638"/>
    <w:next w:val="638"/>
    <w:uiPriority w:val="39"/>
    <w:unhideWhenUsed/>
    <w:pPr>
      <w:ind w:left="1984"/>
      <w:spacing w:after="57"/>
    </w:pPr>
  </w:style>
  <w:style w:type="paragraph" w:styleId="828">
    <w:name w:val="toc 9"/>
    <w:basedOn w:val="638"/>
    <w:next w:val="638"/>
    <w:uiPriority w:val="39"/>
    <w:unhideWhenUsed/>
    <w:pPr>
      <w:ind w:left="2268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638"/>
    <w:next w:val="638"/>
    <w:uiPriority w:val="99"/>
    <w:unhideWhenUsed/>
    <w:pPr>
      <w:spacing w:after="0"/>
    </w:pPr>
  </w:style>
  <w:style w:type="paragraph" w:styleId="83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2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3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34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5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6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37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838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39" w:customStyle="1">
    <w:name w:val="Знак"/>
    <w:basedOn w:val="638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character" w:styleId="840">
    <w:name w:val="Hyperlink"/>
    <w:basedOn w:val="648"/>
    <w:uiPriority w:val="99"/>
    <w:unhideWhenUsed/>
    <w:rPr>
      <w:color w:val="0000ff" w:themeColor="hyperlink"/>
      <w:u w:val="single"/>
    </w:rPr>
  </w:style>
  <w:style w:type="paragraph" w:styleId="841" w:customStyle="1">
    <w:name w:val="Знак"/>
    <w:basedOn w:val="638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42">
    <w:name w:val="Normal (Web)"/>
    <w:basedOn w:val="63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3">
    <w:name w:val="List Paragraph"/>
    <w:basedOn w:val="638"/>
    <w:uiPriority w:val="34"/>
    <w:qFormat/>
    <w:pPr>
      <w:contextualSpacing/>
      <w:ind w:left="720"/>
    </w:pPr>
  </w:style>
  <w:style w:type="paragraph" w:styleId="844">
    <w:name w:val="Header"/>
    <w:basedOn w:val="638"/>
    <w:link w:val="8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Верхний колонтитул Знак"/>
    <w:basedOn w:val="648"/>
    <w:link w:val="844"/>
    <w:uiPriority w:val="99"/>
  </w:style>
  <w:style w:type="paragraph" w:styleId="846">
    <w:name w:val="Footer"/>
    <w:basedOn w:val="638"/>
    <w:link w:val="84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7" w:customStyle="1">
    <w:name w:val="Нижний колонтитул Знак"/>
    <w:basedOn w:val="648"/>
    <w:link w:val="846"/>
    <w:uiPriority w:val="99"/>
  </w:style>
  <w:style w:type="paragraph" w:styleId="848" w:customStyle="1">
    <w:name w:val="Знак"/>
    <w:basedOn w:val="638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49" w:customStyle="1">
    <w:name w:val="Основной текст"/>
    <w:next w:val="674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4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B1A68-6A99-44EA-BE55-64210864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Сорочинская И. Л.</dc:creator>
  <cp:revision>56</cp:revision>
  <dcterms:created xsi:type="dcterms:W3CDTF">2024-02-26T14:24:00Z</dcterms:created>
  <dcterms:modified xsi:type="dcterms:W3CDTF">2024-11-15T11:25:40Z</dcterms:modified>
</cp:coreProperties>
</file>