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>
        <w:rPr>
          <w:rFonts w:ascii="Verdana" w:hAnsi="Verdana"/>
          <w:b/>
          <w:color w:val="ffffff"/>
          <w:sz w:val="26"/>
          <w:szCs w:val="26"/>
        </w:rPr>
      </w:r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>
        <w:rPr>
          <w:b/>
          <w:color w:val="ffffff"/>
          <w:sz w:val="26"/>
          <w:szCs w:val="26"/>
        </w:rPr>
      </w:r>
    </w:p>
    <w:p>
      <w:pPr>
        <w:jc w:val="center"/>
        <w:shd w:val="clear" w:color="auto" w:fill="999999"/>
        <w:rPr>
          <w:b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</w:rPr>
        <w:t xml:space="preserve">Настоящим </w:t>
      </w:r>
      <w:r>
        <w:rPr>
          <w:b/>
        </w:rPr>
        <w:t xml:space="preserve">министерство </w:t>
      </w:r>
      <w:r>
        <w:rPr>
          <w:b/>
        </w:rPr>
        <w:t xml:space="preserve">автомобильных дорог и транспорта </w:t>
      </w:r>
      <w:r>
        <w:rPr>
          <w:b/>
        </w:rPr>
        <w:t xml:space="preserve">Белгородской области</w:t>
      </w:r>
      <w:r>
        <w:rPr>
          <w:b/>
        </w:rPr>
      </w:r>
    </w:p>
    <w:p>
      <w:pPr>
        <w:jc w:val="center"/>
        <w:shd w:val="clear" w:color="auto" w:fill="999999"/>
        <w:rPr>
          <w:b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</w:rPr>
        <w:t xml:space="preserve">уведомляет о </w:t>
      </w:r>
      <w:r>
        <w:rPr>
          <w:b/>
        </w:rPr>
        <w:t xml:space="preserve">начале </w:t>
      </w:r>
      <w:r>
        <w:rPr>
          <w:b/>
        </w:rPr>
        <w:t xml:space="preserve">публичных консультаций</w:t>
      </w:r>
      <w:r>
        <w:rPr>
          <w:b/>
        </w:rPr>
        <w:t xml:space="preserve"> </w:t>
      </w:r>
      <w:r>
        <w:rPr>
          <w:b/>
        </w:rPr>
        <w:t xml:space="preserve">в целях проведения оценки регулирующего воздействия проекта нормативного правового акта</w:t>
      </w:r>
      <w:r>
        <w:rPr>
          <w:b/>
        </w:rPr>
        <w:t xml:space="preserve">.</w:t>
      </w:r>
      <w:r>
        <w:rPr>
          <w:b/>
        </w:rPr>
      </w:r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Verdana" w:hAnsi="Verdana"/>
          <w:b/>
          <w:color w:val="ffffff"/>
        </w:rPr>
      </w:r>
      <w:r>
        <w:rPr>
          <w:rFonts w:ascii="Verdana" w:hAnsi="Verdana"/>
          <w:b/>
          <w:color w:val="ffffff"/>
        </w:rPr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>
        <w:rPr>
          <w:rFonts w:ascii="Verdana" w:hAnsi="Verdana"/>
        </w:rPr>
      </w:r>
    </w:p>
    <w:p>
      <w:pPr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Акт:</w:t>
      </w:r>
      <w:r>
        <w:t xml:space="preserve"> </w:t>
      </w:r>
      <w:bookmarkEnd w:id="0"/>
      <w:r/>
      <w:bookmarkEnd w:id="1"/>
      <w:r/>
      <w:bookmarkEnd w:id="2"/>
      <w:r>
        <w:t xml:space="preserve">проект </w:t>
      </w:r>
      <w:r>
        <w:t xml:space="preserve">закона Белгородской области «О внесении изменения в закон Белгородской области «Об административной ответственности за правонарушения в сфере транспортного обслуживания населения в Белгородской области»</w:t>
      </w:r>
      <w:r/>
    </w:p>
    <w:p>
      <w:pPr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</w:rPr>
        <w:t xml:space="preserve">Разработчик акта:</w:t>
      </w:r>
      <w:r>
        <w:rPr>
          <w:b/>
        </w:rPr>
        <w:t xml:space="preserve"> </w:t>
      </w:r>
      <w:r>
        <w:t xml:space="preserve">министерство автомобильных дорог и транспорта Белгородской области</w:t>
      </w:r>
      <w:r/>
    </w:p>
    <w:p>
      <w:pPr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</w:rPr>
        <w:t xml:space="preserve">Сроки проведения публичных консультаций</w:t>
      </w:r>
      <w:r>
        <w:t xml:space="preserve">:</w:t>
      </w:r>
      <w:r>
        <w:t xml:space="preserve"> </w:t>
      </w:r>
      <w:r>
        <w:t xml:space="preserve">с </w:t>
      </w:r>
      <w:r>
        <w:t xml:space="preserve">20</w:t>
      </w:r>
      <w:r>
        <w:t xml:space="preserve">.0</w:t>
      </w:r>
      <w:r>
        <w:t xml:space="preserve">3</w:t>
      </w:r>
      <w:r>
        <w:t xml:space="preserve">.2024 по </w:t>
      </w:r>
      <w:r>
        <w:t xml:space="preserve">02</w:t>
      </w:r>
      <w:r>
        <w:t xml:space="preserve">.</w:t>
      </w:r>
      <w:r>
        <w:t xml:space="preserve">04</w:t>
      </w:r>
      <w:r>
        <w:t xml:space="preserve">.2024 г.</w:t>
      </w:r>
      <w:r/>
    </w:p>
    <w:p>
      <w:pPr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t xml:space="preserve">н</w:t>
      </w:r>
      <w:r>
        <w:t xml:space="preserve">аправление по электронной почте на адрес </w:t>
      </w:r>
      <w:r>
        <w:rPr>
          <w:lang w:val="en-US"/>
        </w:rPr>
        <w:t xml:space="preserve">parahin</w:t>
      </w:r>
      <w:r>
        <w:t xml:space="preserve">_</w:t>
      </w:r>
      <w:r>
        <w:rPr>
          <w:lang w:val="en-US"/>
        </w:rPr>
        <w:t xml:space="preserve">ao</w:t>
      </w:r>
      <w:r>
        <w:t xml:space="preserve">@</w:t>
      </w:r>
      <w:r>
        <w:rPr>
          <w:lang w:val="en-US"/>
        </w:rPr>
        <w:t xml:space="preserve">belregion</w:t>
      </w:r>
      <w:r>
        <w:t xml:space="preserve">.</w:t>
      </w:r>
      <w:r>
        <w:rPr>
          <w:lang w:val="en-US"/>
        </w:rPr>
        <w:t xml:space="preserve">ru</w:t>
      </w:r>
      <w:r>
        <w:t xml:space="preserve"> в виде прикрепленного файла, составленного (заполненного) по прилагаемой форме</w:t>
      </w:r>
      <w:r/>
    </w:p>
    <w:p>
      <w:pPr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/>
    </w:p>
    <w:p>
      <w:pPr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t xml:space="preserve">Парахин Антон Олегович, заместитель начальника областного </w:t>
      </w:r>
      <w:r>
        <w:t xml:space="preserve">государственного казенного учреждения «Организатор пассажирских перевозок Белгородской области»</w:t>
      </w:r>
      <w:r>
        <w:t xml:space="preserve">, контактный телефон: </w:t>
      </w:r>
      <w:r>
        <w:t xml:space="preserve">8 </w:t>
      </w:r>
      <w:r>
        <w:t xml:space="preserve">(4722) </w:t>
      </w:r>
      <w:r>
        <w:t xml:space="preserve">38-08-02</w:t>
      </w:r>
      <w:r/>
    </w:p>
    <w:p>
      <w:pPr>
        <w:jc w:val="both"/>
        <w:shd w:val="clear" w:color="auto" w:fill="e6e6e6"/>
        <w:rPr>
          <w:b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</w:rPr>
        <w:t xml:space="preserve">Прилагаемые к запросу документы: </w:t>
      </w:r>
      <w:r>
        <w:rPr>
          <w:b/>
        </w:rPr>
      </w:r>
    </w:p>
    <w:p>
      <w:pPr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t xml:space="preserve">1) проект </w:t>
      </w:r>
      <w:r>
        <w:t xml:space="preserve">закона Белгородской области «О внесении изменения в закон Белгородской области «Об административной ответственности за правонарушения в сфере транспортного обслуживания населения в Белгородской области»</w:t>
      </w:r>
      <w:r>
        <w:t xml:space="preserve">;</w:t>
      </w:r>
      <w:r/>
    </w:p>
    <w:p>
      <w:pPr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t xml:space="preserve">2) сводный отчет о результатах проведения оценки регулирующего воздействия проекта </w:t>
      </w:r>
      <w:r>
        <w:t xml:space="preserve">закона Белгородской области «О внесении изменения в закон Белгородской области «Об административной ответственности за правонарушения в сфере транспортного обслуживания населения в Белгородской области»</w:t>
      </w:r>
      <w:r>
        <w:t xml:space="preserve">;</w:t>
      </w:r>
      <w:r/>
    </w:p>
    <w:p>
      <w:pPr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t xml:space="preserve">3</w:t>
      </w:r>
      <w:r>
        <w:t xml:space="preserve">) пояснительная записка.</w:t>
      </w:r>
      <w:r/>
    </w:p>
    <w:p>
      <w:pPr>
        <w:jc w:val="both"/>
        <w:rPr>
          <w:b/>
        </w:rPr>
      </w:pPr>
      <w:r>
        <w:rPr>
          <w:b/>
        </w:rPr>
        <w:t xml:space="preserve">Перечень вопросов для участ</w:t>
      </w:r>
      <w:r>
        <w:rPr>
          <w:b/>
        </w:rPr>
        <w:t xml:space="preserve">ников публичных консультаций по </w:t>
      </w:r>
      <w:r>
        <w:rPr>
          <w:b/>
        </w:rPr>
        <w:t xml:space="preserve">проекту </w:t>
      </w:r>
      <w:r>
        <w:rPr>
          <w:b/>
        </w:rPr>
        <w:t xml:space="preserve">закона Белгородской области «О внесении изменения в закон Белгородской области «Об административной ответственности за правонарушения в сфере транспортного обслуживания населения в Белгородской области»</w:t>
      </w:r>
      <w:r>
        <w:rPr>
          <w:b/>
        </w:rPr>
      </w:r>
    </w:p>
    <w:p>
      <w:pPr>
        <w:jc w:val="both"/>
      </w:pPr>
      <w:r>
        <w:t xml:space="preserve">Пожалуйста, заполните и направьте данную форму по электронной почте на адрес</w:t>
      </w:r>
      <w:r>
        <w:t xml:space="preserve"> </w:t>
      </w:r>
      <w:r>
        <w:rPr>
          <w:lang w:val="en-US"/>
        </w:rPr>
        <w:t xml:space="preserve">parahin</w:t>
      </w:r>
      <w:r>
        <w:t xml:space="preserve">_</w:t>
      </w:r>
      <w:r>
        <w:rPr>
          <w:lang w:val="en-US"/>
        </w:rPr>
        <w:t xml:space="preserve">ao</w:t>
      </w:r>
      <w:r>
        <w:t xml:space="preserve">@</w:t>
      </w:r>
      <w:r>
        <w:rPr>
          <w:lang w:val="en-US"/>
        </w:rPr>
        <w:t xml:space="preserve">belregion</w:t>
      </w:r>
      <w:r>
        <w:t xml:space="preserve">.</w:t>
      </w:r>
      <w:r>
        <w:rPr>
          <w:lang w:val="en-US"/>
        </w:rPr>
        <w:t xml:space="preserve">ru</w:t>
      </w:r>
      <w:r>
        <w:t xml:space="preserve"> не позднее 2</w:t>
      </w:r>
      <w:r>
        <w:t xml:space="preserve"> </w:t>
      </w:r>
      <w:r>
        <w:t xml:space="preserve">апреля</w:t>
      </w:r>
      <w:r>
        <w:t xml:space="preserve"> 2024 г.</w:t>
      </w:r>
      <w:r/>
    </w:p>
    <w:p>
      <w:pPr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>
        <w:rPr>
          <w:b/>
        </w:rPr>
      </w:r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</w:t>
      </w:r>
      <w:r>
        <w:t xml:space="preserve">организации: </w:t>
      </w:r>
      <w:r>
        <w:t xml:space="preserve"> </w:t>
      </w:r>
      <w:r>
        <w:t xml:space="preserve">_</w:t>
      </w:r>
      <w:r>
        <w:t xml:space="preserve">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Контактный </w:t>
      </w:r>
      <w:r>
        <w:t xml:space="preserve">телефон:</w:t>
      </w:r>
      <w:r>
        <w:t xml:space="preserve"> </w:t>
      </w:r>
      <w:r>
        <w:t xml:space="preserve"> _</w:t>
      </w:r>
      <w:r>
        <w:t xml:space="preserve">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</w:t>
      </w:r>
      <w:r>
        <w:t xml:space="preserve">иной экономической</w:t>
      </w:r>
      <w:r>
        <w:t xml:space="preserve">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>
        <w:t xml:space="preserve">иной экономической</w:t>
      </w:r>
      <w:r>
        <w:t xml:space="preserve">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</w:t>
      </w:r>
      <w:r>
        <w:t xml:space="preserve">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rPr>
        <w:rStyle w:val="704"/>
      </w:rPr>
      <w:framePr w:wrap="around" w:vAnchor="text" w:hAnchor="margin" w:xAlign="center" w:y="1"/>
    </w:pPr>
    <w:r>
      <w:rPr>
        <w:rStyle w:val="704"/>
      </w:rPr>
      <w:fldChar w:fldCharType="begin"/>
    </w:r>
    <w:r>
      <w:rPr>
        <w:rStyle w:val="704"/>
      </w:rPr>
      <w:instrText xml:space="preserve">PAGE  </w:instrText>
    </w:r>
    <w:r>
      <w:rPr>
        <w:rStyle w:val="704"/>
      </w:rPr>
      <w:fldChar w:fldCharType="separate"/>
    </w:r>
    <w:r>
      <w:rPr>
        <w:rStyle w:val="704"/>
      </w:rPr>
      <w:t xml:space="preserve">2</w:t>
    </w:r>
    <w:r>
      <w:rPr>
        <w:rStyle w:val="704"/>
      </w:rPr>
      <w:fldChar w:fldCharType="end"/>
    </w:r>
    <w:r>
      <w:rPr>
        <w:rStyle w:val="704"/>
      </w:rPr>
    </w:r>
  </w:p>
  <w:p>
    <w:pPr>
      <w:pStyle w:val="70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rPr>
        <w:rStyle w:val="704"/>
      </w:rPr>
      <w:framePr w:wrap="around" w:vAnchor="text" w:hAnchor="margin" w:xAlign="center" w:y="1"/>
    </w:pPr>
    <w:r>
      <w:rPr>
        <w:rStyle w:val="704"/>
      </w:rPr>
      <w:fldChar w:fldCharType="begin"/>
    </w:r>
    <w:r>
      <w:rPr>
        <w:rStyle w:val="704"/>
      </w:rPr>
      <w:instrText xml:space="preserve">PAGE  </w:instrText>
    </w:r>
    <w:r>
      <w:rPr>
        <w:rStyle w:val="704"/>
      </w:rPr>
      <w:fldChar w:fldCharType="end"/>
    </w:r>
    <w:r>
      <w:rPr>
        <w:rStyle w:val="704"/>
      </w:rPr>
    </w:r>
  </w:p>
  <w:p>
    <w:pPr>
      <w:pStyle w:val="7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9"/>
    <w:next w:val="6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9"/>
    <w:next w:val="6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9"/>
    <w:next w:val="6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9"/>
    <w:next w:val="6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9"/>
    <w:next w:val="6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9"/>
    <w:next w:val="6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9"/>
    <w:next w:val="6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9"/>
    <w:next w:val="6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9"/>
    <w:next w:val="6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9"/>
    <w:next w:val="6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00"/>
    <w:link w:val="34"/>
    <w:uiPriority w:val="10"/>
    <w:rPr>
      <w:sz w:val="48"/>
      <w:szCs w:val="48"/>
    </w:rPr>
  </w:style>
  <w:style w:type="paragraph" w:styleId="36">
    <w:name w:val="Subtitle"/>
    <w:basedOn w:val="699"/>
    <w:next w:val="6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00"/>
    <w:link w:val="36"/>
    <w:uiPriority w:val="11"/>
    <w:rPr>
      <w:sz w:val="24"/>
      <w:szCs w:val="24"/>
    </w:rPr>
  </w:style>
  <w:style w:type="paragraph" w:styleId="38">
    <w:name w:val="Quote"/>
    <w:basedOn w:val="699"/>
    <w:next w:val="6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9"/>
    <w:next w:val="6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0"/>
    <w:link w:val="703"/>
    <w:uiPriority w:val="99"/>
  </w:style>
  <w:style w:type="character" w:styleId="45">
    <w:name w:val="Footer Char"/>
    <w:basedOn w:val="700"/>
    <w:link w:val="705"/>
    <w:uiPriority w:val="99"/>
  </w:style>
  <w:style w:type="paragraph" w:styleId="46">
    <w:name w:val="Caption"/>
    <w:basedOn w:val="699"/>
    <w:next w:val="6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5"/>
    <w:uiPriority w:val="99"/>
  </w:style>
  <w:style w:type="table" w:styleId="48">
    <w:name w:val="Table Grid"/>
    <w:basedOn w:val="7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0"/>
    <w:uiPriority w:val="99"/>
    <w:unhideWhenUsed/>
    <w:rPr>
      <w:vertAlign w:val="superscript"/>
    </w:rPr>
  </w:style>
  <w:style w:type="paragraph" w:styleId="178">
    <w:name w:val="endnote text"/>
    <w:basedOn w:val="6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0"/>
    <w:uiPriority w:val="99"/>
    <w:semiHidden/>
    <w:unhideWhenUsed/>
    <w:rPr>
      <w:vertAlign w:val="superscript"/>
    </w:rPr>
  </w:style>
  <w:style w:type="paragraph" w:styleId="181">
    <w:name w:val="toc 1"/>
    <w:basedOn w:val="699"/>
    <w:next w:val="6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9"/>
    <w:next w:val="6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9"/>
    <w:next w:val="6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9"/>
    <w:next w:val="6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9"/>
    <w:next w:val="6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9"/>
    <w:next w:val="6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9"/>
    <w:next w:val="6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9"/>
    <w:next w:val="6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9"/>
    <w:next w:val="6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9"/>
    <w:next w:val="699"/>
    <w:uiPriority w:val="99"/>
    <w:unhideWhenUsed/>
    <w:pPr>
      <w:spacing w:after="0" w:afterAutospacing="0"/>
    </w:pPr>
  </w:style>
  <w:style w:type="paragraph" w:styleId="699" w:default="1">
    <w:name w:val="Normal"/>
    <w:qFormat/>
    <w:rPr>
      <w:sz w:val="24"/>
      <w:szCs w:val="24"/>
    </w:r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Header"/>
    <w:basedOn w:val="699"/>
    <w:link w:val="707"/>
    <w:pPr>
      <w:tabs>
        <w:tab w:val="center" w:pos="4677" w:leader="none"/>
        <w:tab w:val="right" w:pos="9355" w:leader="none"/>
      </w:tabs>
    </w:pPr>
  </w:style>
  <w:style w:type="character" w:styleId="704">
    <w:name w:val="page number"/>
    <w:basedOn w:val="700"/>
  </w:style>
  <w:style w:type="paragraph" w:styleId="705">
    <w:name w:val="Footer"/>
    <w:basedOn w:val="699"/>
    <w:pPr>
      <w:tabs>
        <w:tab w:val="center" w:pos="4677" w:leader="none"/>
        <w:tab w:val="right" w:pos="9355" w:leader="none"/>
      </w:tabs>
    </w:pPr>
  </w:style>
  <w:style w:type="character" w:styleId="706">
    <w:name w:val="Hyperlink"/>
    <w:rPr>
      <w:color w:val="0000ff"/>
      <w:u w:val="single"/>
    </w:rPr>
  </w:style>
  <w:style w:type="character" w:styleId="707" w:customStyle="1">
    <w:name w:val="Верхний колонтитул Знак"/>
    <w:link w:val="703"/>
    <w:rPr>
      <w:sz w:val="24"/>
      <w:szCs w:val="24"/>
      <w:lang w:bidi="ar-SA"/>
    </w:rPr>
  </w:style>
  <w:style w:type="paragraph" w:styleId="708" w:customStyle="1">
    <w:name w:val="ConsPlusNormal"/>
    <w:link w:val="711"/>
    <w:pPr>
      <w:widowControl w:val="off"/>
    </w:pPr>
    <w:rPr>
      <w:rFonts w:ascii="Arial" w:hAnsi="Arial" w:cs="Arial"/>
    </w:rPr>
  </w:style>
  <w:style w:type="paragraph" w:styleId="709">
    <w:name w:val="Balloon Text"/>
    <w:basedOn w:val="699"/>
    <w:link w:val="710"/>
    <w:rPr>
      <w:rFonts w:ascii="Segoe UI" w:hAnsi="Segoe UI" w:cs="Segoe UI"/>
      <w:sz w:val="18"/>
      <w:szCs w:val="18"/>
    </w:rPr>
  </w:style>
  <w:style w:type="character" w:styleId="710" w:customStyle="1">
    <w:name w:val="Текст выноски Знак"/>
    <w:link w:val="709"/>
    <w:rPr>
      <w:rFonts w:ascii="Segoe UI" w:hAnsi="Segoe UI" w:cs="Segoe UI"/>
      <w:sz w:val="18"/>
      <w:szCs w:val="18"/>
    </w:rPr>
  </w:style>
  <w:style w:type="character" w:styleId="711" w:customStyle="1">
    <w:name w:val="ConsPlusNormal Знак"/>
    <w:link w:val="70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MoBIL GROUP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4</cp:revision>
  <dcterms:created xsi:type="dcterms:W3CDTF">2024-03-15T20:50:00Z</dcterms:created>
  <dcterms:modified xsi:type="dcterms:W3CDTF">2024-03-19T12:32:36Z</dcterms:modified>
</cp:coreProperties>
</file>