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P439"/>
      <w:r>
        <w:rPr>
          <w:rFonts w:ascii="Times New Roman" w:hAnsi="Times New Roman" w:cs="Times New Roman"/>
          <w:sz w:val="26"/>
          <w:szCs w:val="26"/>
        </w:rPr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>
        <w:rPr>
          <w:rFonts w:ascii="Times New Roman" w:hAnsi="Times New Roman" w:cs="Times New Roman"/>
        </w:rPr>
      </w:r>
      <w:r/>
    </w:p>
    <w:p>
      <w:pPr>
        <w:pStyle w:val="8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управление государственного жилищного надзора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1.2. Вид и наименование проекта нормативного правового акта: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приказа управления государственного жилищного надзора Белгоро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eastAsia="Calibri" w:cs="Times New Roman"/>
          <w:b w:val="0"/>
          <w:bCs w:val="0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нормативного правового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акта: начало: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октября 2024 г.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окончание «6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ноября 2024 г.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Степень регулирующего воздействия проекта нормативного правового акта: </w:t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средняя.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ного правового акта содержит положения, изменяющие условия предоставления государственной услуги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zh-CN"/>
        </w:rPr>
        <w:t xml:space="preserve">по лицензированию предпринимательск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zh-CN"/>
        </w:rPr>
        <w:t xml:space="preserve">ой деятельности по управлению многоквартирными домами,</w:t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zh-CN"/>
        </w:rPr>
        <w:t xml:space="preserve">устанавливает порядок предоставления государственной услуги и стандарт её предоставления.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ормация об исполнителе в органе-разработчике: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Бочарникова Екатерина Николаевна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начальник отдела правового обеспечения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 и административного производства управления государственного жилищного надзора Белгородской области,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8 (4722) 34-69-37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ugjn31@belregion.ru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б правового регулирования: 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Проект нормативного акта направлен на улучшение качества предоставления государственной услуги, снижение срока получения государственной услуги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а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так же </w:t>
      </w:r>
      <w:r>
        <w:rPr>
          <w:rFonts w:ascii="Times New Roman" w:hAnsi="Times New Roman" w:eastAsia="Calibri" w:cs="Times New Roman"/>
          <w:sz w:val="26"/>
          <w:szCs w:val="26"/>
          <w:highlight w:val="white"/>
          <w:lang w:eastAsia="en-US"/>
        </w:rPr>
        <w:t xml:space="preserve">приведен в соответствие с действующими нормативными правовыми актами, определяющие порядок и стандарты предоставления государственной услуги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 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проведенного анализа нормативных правовых актов, в связи</w:t>
        <w:br/>
        <w:t xml:space="preserve">с изменениями, внесёнными в Положение о лицензировании предпринимательской деятельности по управлению многоквартирн</w:t>
      </w:r>
      <w:r>
        <w:rPr>
          <w:rFonts w:ascii="Times New Roman" w:hAnsi="Times New Roman" w:cs="Times New Roman"/>
          <w:sz w:val="26"/>
          <w:szCs w:val="26"/>
        </w:rPr>
        <w:t xml:space="preserve">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утвержденное постановлением Правительства РФ от 28 октября 2014 года № 1110</w:t>
        <w:br/>
        <w:t xml:space="preserve">«О лиц</w:t>
      </w:r>
      <w:r>
        <w:rPr>
          <w:rFonts w:ascii="Times New Roman" w:hAnsi="Times New Roman" w:cs="Times New Roman"/>
          <w:sz w:val="26"/>
          <w:szCs w:val="26"/>
        </w:rPr>
        <w:t xml:space="preserve">ензировании предпринимательской деятельности по управлению многоквартирными домами», с принятием постановления Правительства Белгородской области от 18 июля 2022 года № 431-пп «О порядке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государственных услуг на территории Белгородской области», и в целях приведения нормативных правовых актов Белгородской области в соответствие с действующим законодательством подготовлен проект приказа управления государственного жилищного надзора Белгород</w:t>
      </w:r>
      <w:r>
        <w:rPr>
          <w:rFonts w:ascii="Times New Roman" w:hAnsi="Times New Roman" w:cs="Times New Roman"/>
          <w:sz w:val="26"/>
          <w:szCs w:val="26"/>
        </w:rPr>
        <w:t xml:space="preserve">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проблемы: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Отсутствие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четкой формы подачи заявления на предоставление государственной услуги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долгий срок получения результата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государственной услуги по лицензированию предпринимательской деятельности по управлению многоквартирными домами</w:t>
        <w:br/>
        <w:t xml:space="preserve">на территории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В настоящее время в Санкт-Петербурге, Республики Алтай, Татарстан, Волгоградской, Калининградской, Омской области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утверждены административные регламенты по предоставлению государственной услуги по лицензированию предпринимательской деятельности по управлению многоквартирными домами.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3.Цели вводимого правового регулирования и измеримые показатели</w:t>
        <w:br/>
        <w:t xml:space="preserve">их достижения: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</w:t>
      </w:r>
      <w:r>
        <w:rPr>
          <w:rFonts w:ascii="Times New Roman" w:hAnsi="Times New Roman" w:eastAsia="Calibri" w:cs="Times New Roman"/>
          <w:sz w:val="26"/>
          <w:szCs w:val="26"/>
        </w:rPr>
        <w:t xml:space="preserve">ние целей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результативной и эффективной системы по организации предоставления государственной услуги по лицензированию предпринимательской деятельности по управлению многоквартирными домами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 территории Белгородской области.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регулирования принципам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bookmarkStart w:id="0" w:name="undefined"/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- постановление Правительства РФ от 28 октября 2014 года № 1110</w:t>
        <w:br/>
        <w:t xml:space="preserve">«О лицензировании предпринимательской деятельности по управлению многоквартирными домами»;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- постановление Правительства Белгородской области от 18 июля 2022 года</w:t>
        <w:br/>
        <w:t xml:space="preserve">№ 431-пп «О порядке разработки и утверждения административных регламентов предоставления государственных услуг на территории Белгородской области».</w:t>
      </w:r>
      <w:bookmarkEnd w:id="0"/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декабрь 2024 год.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</w:t>
      </w:r>
      <w:r>
        <w:rPr>
          <w:rFonts w:ascii="Times New Roman" w:hAnsi="Times New Roman" w:cs="Times New Roman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left="709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Проектом приказа управления государственного жилищного надзора Бел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городской области утверждается административный регламент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</w:t>
        <w:br/>
        <w:t xml:space="preserve">по управлению многоквартирными домами»: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 структура административного регламента соответствует требованиям постановления Правительства Белгородской области от 18 июля 2022 года № 431-пп;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 решение о предоставлении (об отказе в предоставлении) лицензии принимается</w:t>
        <w:br/>
        <w:t xml:space="preserve">в срок, не превышающий двадцати трех рабочих дней;</w:t>
      </w:r>
      <w:r>
        <w:rPr>
          <w:rFonts w:ascii="Times New Roman" w:hAnsi="Times New Roman" w:cs="Times New Roman"/>
        </w:rPr>
      </w:r>
      <w:r/>
    </w:p>
    <w:p>
      <w:pPr>
        <w:pStyle w:val="83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услуга предоставляется только через единый портал государственных услуг;</w:t>
      </w:r>
      <w:r>
        <w:rPr>
          <w:rFonts w:ascii="Times New Roman" w:hAnsi="Times New Roman" w:cs="Times New Roman"/>
        </w:rPr>
      </w:r>
      <w:r/>
    </w:p>
    <w:p>
      <w:pPr>
        <w:pStyle w:val="831"/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-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появилась возможность подать заявление об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исправлении допущенных опечаток и (или) ошибок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в выданных в результате предоставления услуги документах</w:t>
        <w:br/>
        <w:t xml:space="preserve">и созданных реестровых записях.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cantSplit w:val="false"/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Предлагаемое регулирование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Альтернативный вариант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решения проблемы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предоставлении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уменьшении срока рассмотрения заявления с 30 рабочих дней до 23 рабочих дней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Решение о предоставлении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рассмотрения заявления 30 рабочих дней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 w:val="false"/>
          <w:trHeight w:val="87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обращения: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услуга предоставляется только через единый портал государственных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Форма обращения: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произвольная форма обращения для получения услуги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результат предоставления услуги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направляется только через единый портал государственных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 результата: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по форме указанной в заявлении лицензиата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утверждение административного регламента с указнными изменениями является наиболее современным подходом в предоставлении государственной услуги.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4.3. Обоснование выбора предлагаемого способа решения проблемы: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Предпочтительным вариантом решения проблемы управление государственного жилищного надзора Белгородской области считает утверждение проекта приказа управления государственного жилищного надзора Белгород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ской области «Об утверждении Административного регламента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 по управлению многоквартирными домами».</w:t>
      </w:r>
      <w:r>
        <w:rPr>
          <w:rFonts w:ascii="Times New Roman" w:hAnsi="Times New Roman" w:cs="Times New Roman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Указанный вариант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позволит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определить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порядок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организации предоставления государственной услуги по лицензированию предпринимательской деятельности</w:t>
        <w:br/>
        <w:t xml:space="preserve">по управлению многоквартирными домами на территории Белгородской области,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позволит уменьшить срок рассмотрения заявления лицензиата на получении государственной услуги, сократит время соискателя лицензии на подготовку пакета документов.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руппа участников отношений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Юридические лица, индивидуальные предприниматели, осуществляющие  предпринимательскую деятельность</w:t>
              <w:br/>
              <w:t xml:space="preserve">по управлению многоквартирными домами</w:t>
              <w:br/>
              <w:t xml:space="preserve">на основании лицензии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pStyle w:val="638"/>
              <w:ind w:righ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Количество лицензиатов  - 140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и преи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Times New Roman" w:hAnsi="Times New Roman" w:eastAsia="Calibri" w:cs="Times New Roman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овым регулированием: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eastAsia="Calibri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60"/>
        <w:gridCol w:w="2893"/>
        <w:gridCol w:w="3826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Группа участников отношений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 </w:t>
              <w:br/>
              <w:t xml:space="preserve">и ограничений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Оценка изменения расходов/доходов,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издержек/выгод,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Юридические лица, индивидуальные предприниматели, осуществляющие предпринимательскую деятельность по управлению многоквартирными домами на основании лицензии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Преимущества: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- сокра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щение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врем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ени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соискателя лицензии на подготовку пакета документов;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- уменьшение срока рассмотрения заявления.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Обязанности: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предоставление информации и документов необходимых для получения государственной услуги</w:t>
              <w:br/>
              <w:t xml:space="preserve">по лицензированию предпринимательской деятельности по управлению многоквартирными домами.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  <w:t xml:space="preserve">Предоставление пакета документов в электронном виде позволит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уменьшить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расходы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заявителей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19,75 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тыс. руб.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(3 чел./часа*235,11 руб.*28 ед). </w:t>
            </w:r>
            <w:r/>
            <w:r/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Общая стоимость требования по предоставлению документов, необходимых для получения услуги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52,67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 тыс. руб.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  <w:highlight w:val="none"/>
                <w:lang w:eastAsia="en-US"/>
              </w:rPr>
            </w:r>
          </w:p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eastAsia="Calibri" w:cs="Times New Roman"/>
                <w:sz w:val="26"/>
                <w:szCs w:val="26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(8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чел./часов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235,11 руб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.*28 ед.)</w:t>
            </w:r>
            <w:r/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highlight w:val="none"/>
                <w:lang w:eastAsia="en-US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081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pStyle w:val="638"/>
              <w:contextualSpacing w:val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Предоставление государственной услуги по лицензированию предпринимательской деятельности по управлению многоквартирными домами будет осуществляться в соответствии с 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val="ru-RU" w:eastAsia="en-US"/>
              </w:rPr>
              <w:t xml:space="preserve">ранее установленными полномочиями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973"/>
        <w:gridCol w:w="2976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Взимание с заявителя госуд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арственной пошлины за предоставление государственной услуги (предоставление лицензии, переоформление лицензии, выдачу дубликата лицензии) осуществляется в размерах, установленных подпунктом 134 пункта 1 статьи 333.33 Налогового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Возможн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ые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 поступлени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я</w:t>
              <w:br/>
              <w:t xml:space="preserve">в бюджет Белгородской области в размере</w:t>
              <w:br/>
              <w:t xml:space="preserve">30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5"/>
        <w:gridCol w:w="38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17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Не предоставление необходимых документов хозяйствующими субъектами в целях принятии управлением решения о предоставление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lang w:eastAsia="en-US"/>
              </w:rPr>
              <w:t xml:space="preserve">Низкая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638"/>
              <w:contextualSpacing w:val="0"/>
              <w:ind w:righ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Качественная проверка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пакета документов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  <w:shd w:val="clear" w:color="auto" w:fill="auto"/>
                <w:lang w:eastAsia="en-US"/>
              </w:rPr>
              <w:t xml:space="preserve"> на стадии направления заявления через единый портал государственных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0" w:type="auto"/>
        <w:tblInd w:w="-1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9"/>
        <w:gridCol w:w="1559"/>
        <w:gridCol w:w="2267"/>
        <w:gridCol w:w="1560"/>
        <w:gridCol w:w="1559"/>
      </w:tblGrid>
      <w:tr>
        <w:trPr>
          <w:cantSplit w:val="false"/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Сроки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Описание ожидаемого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Объем финансиро-вания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  <w:lang w:eastAsia="en-US"/>
              </w:rPr>
              <w:t xml:space="preserve">Источники финансиро- 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1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журнала учета лицензиатов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Учет субъектов в государственной информационной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ежегодного доклада о состоянии регионального государственного надзора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(разъяснение по вопросам, связанным с предоставлением государственной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необходи-мости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Cs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2126"/>
        <w:gridCol w:w="1697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в предложенном регулировании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Коли-чествнное значение ключевых показателей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(не более 5 лет)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trHeight w:val="18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(переоформленных) лицензий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выданных (переоформленных) лицензий  за истекший период (1 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30.12.25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4</w:t>
      </w:r>
      <w:r>
        <w:rPr>
          <w:rFonts w:ascii="Times New Roman" w:hAnsi="Times New Roman" w:eastAsia="Calibri" w:cs="Times New Roman"/>
          <w:sz w:val="26"/>
          <w:szCs w:val="26"/>
        </w:rPr>
        <w:t xml:space="preserve"> квартал 2024 года.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Calibri" w:cs="Liberation Serif"/>
          <w:sz w:val="26"/>
          <w:szCs w:val="26"/>
          <w:highlight w:val="none"/>
        </w:rPr>
      </w:r>
      <w:r>
        <w:rPr>
          <w:rFonts w:ascii="Liberation Serif" w:hAnsi="Liberation Serif" w:eastAsia="Calibri" w:cs="Liberation Serif"/>
          <w:sz w:val="26"/>
          <w:szCs w:val="26"/>
          <w:highlight w:val="none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57"/>
        <w:gridCol w:w="1359"/>
        <w:gridCol w:w="448"/>
        <w:gridCol w:w="448"/>
        <w:gridCol w:w="1784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Начальник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  <w:t xml:space="preserve">М.И. Бредихин</w:t>
            </w:r>
            <w:bookmarkStart w:id="3" w:name="_GoBack"/>
            <w:r>
              <w:rPr>
                <w:rFonts w:ascii="Liberation Serif" w:hAnsi="Liberation Serif" w:cs="Liberation Serif"/>
                <w:sz w:val="26"/>
                <w:szCs w:val="26"/>
              </w:rPr>
            </w:r>
            <w:bookmarkEnd w:id="3"/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  <w:t xml:space="preserve">(инициалы, фамилия)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  <w:t xml:space="preserve"> (дата 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sz w:val="26"/>
                <w:szCs w:val="26"/>
                <w:lang w:eastAsia="ru-RU"/>
              </w:rPr>
              <w:t xml:space="preserve">(подпись)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Times New Roman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9" w:customStyle="1">
    <w:name w:val="Основной текст"/>
    <w:next w:val="67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A68-6A99-44EA-BE55-642108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51</cp:revision>
  <dcterms:created xsi:type="dcterms:W3CDTF">2024-02-26T14:24:00Z</dcterms:created>
  <dcterms:modified xsi:type="dcterms:W3CDTF">2024-10-24T08:17:05Z</dcterms:modified>
</cp:coreProperties>
</file>