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постановления Правительства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Белгородской области):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Министерство сельского хозяйства и продовольствия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Белгородск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ой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област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Проект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постановления Правительства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Белгородской области «О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б утверждении требований к размещению и обустройству сезонных залов (зон) обслуживания п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осетителей, в которых может осуществляться розничная продажа алкогольной продукции при оказании услуг общественного питания, а также порядка выдачи документа, подтверждающего соответствие сезонного зала (зоны) обслуживания посетителей указанным требованиям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».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нормативного правового акта: 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3» декабря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 «16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декабря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2024 года.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Средняя.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Проект нормативного правового акта содержит положения,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конкретизирующие требования к размещению и обустройству сезонных залов (зон) обслуживания по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сетителей, в кот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орых может осуществляться розничная продажа алкогольной продукции при оказании услуг общественного питания, а также предусматривает порядок выдачи документа, подтверждающего соответствие сезонного зала (зоны) обслуживания посетителей указанным требованиям.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(составителе отчета об ОРВ):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Боровской Максим Вячеславович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консультант отдела регионального контроля департамента потребительского рынка министерства сельского хозяйства и продовольствия Белгородской области, контактный телефон: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(4722) 32-51-89. Адрес электронной почты: borovskoy@belapk.ru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Отсутствие четких треб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питания, что может привести к нарушению действующего законодательства.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Федеральным законом от 29</w:t>
      </w:r>
      <w:r>
        <w:rPr>
          <w:rFonts w:ascii="Times New Roman" w:hAnsi="Times New Roman" w:eastAsia="Calibri" w:cs="Times New Roman"/>
          <w:sz w:val="26"/>
          <w:szCs w:val="26"/>
        </w:rPr>
        <w:t xml:space="preserve"> мая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2024</w:t>
      </w:r>
      <w:r>
        <w:rPr>
          <w:rFonts w:ascii="Times New Roman" w:hAnsi="Times New Roman" w:eastAsia="Calibri" w:cs="Times New Roman"/>
          <w:sz w:val="26"/>
          <w:szCs w:val="26"/>
        </w:rPr>
        <w:t xml:space="preserve"> года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№ 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потребления (распития) алкогольной продукции» и статью 2 Федерального закона «О внесении изменений в Федеральный закон «О государственном регулиров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узаконена розничная продажа алкогольной продукции при оказании услуг общественного питания в «летних кафе»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 у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меньшение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количества граждан, желающих получить услуги общественного питания в сезонных залах (зонах) обслуживания посетителей, 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связи с ограничениями в них реализации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алкогольной продукции при оказании услуг общественного питания;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 сокращение выручки у о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рганизаций, осуществляющих розничную продажу алкогольной продукции, и индивидуальных предпринимателей,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имеющих сезонные залы (зоны) обслуживания посетителей, в которых может осуществляться розничная продажа алкогольной продукции при оказании услуг общественного питания: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деятельности: *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Проведенный анализ законодательства субъектов Российской Федерации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показал, что право субъектов Российской Федерации на установление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, уже реализовано в более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чем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5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регионах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в том числе Московской область</w:t>
      </w:r>
      <w:r>
        <w:rPr>
          <w:rFonts w:ascii="Times New Roman" w:hAnsi="Times New Roman" w:eastAsia="Calibri" w:cs="Times New Roman"/>
          <w:sz w:val="26"/>
          <w:szCs w:val="26"/>
        </w:rPr>
        <w:t xml:space="preserve">. Разработаны о проходят оценку регулирующего воздействия проекты нормативных правовых актов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с</w:t>
      </w:r>
      <w:r>
        <w:rPr>
          <w:rFonts w:ascii="Times New Roman" w:hAnsi="Times New Roman" w:eastAsia="Calibri" w:cs="Times New Roman"/>
          <w:sz w:val="26"/>
          <w:szCs w:val="26"/>
        </w:rPr>
        <w:t xml:space="preserve">убъектах Российской Федерации, в том числе таких как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Мурманская,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Нижегородская, Саратовская</w:t>
      </w:r>
      <w:r>
        <w:rPr>
          <w:rFonts w:ascii="Times New Roman" w:hAnsi="Times New Roman" w:eastAsia="Calibri" w:cs="Times New Roman"/>
          <w:sz w:val="26"/>
          <w:szCs w:val="26"/>
        </w:rPr>
        <w:t xml:space="preserve">, Томская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области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Еврейская автономная область.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Проект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постановления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 Правительства Белгородской области разработан в целях урегулирования правоотношений в сфере розничной продажи алкогольной продукции при оказании услуг общественного питания в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сезонных залах (зонах) обслуживания посетителей.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Представленный проект постановления Правительства Белгородской области подготовлен в ц</w:t>
      </w:r>
      <w:r>
        <w:rPr>
          <w:rFonts w:ascii="Times New Roman" w:hAnsi="Times New Roman" w:eastAsia="Calibri" w:cs="Times New Roman"/>
          <w:sz w:val="26"/>
          <w:szCs w:val="26"/>
        </w:rPr>
        <w:t xml:space="preserve">елях реализации положений Федерального закона от 29 мая 2024 года № 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</w:t>
      </w:r>
      <w:r>
        <w:rPr>
          <w:rFonts w:ascii="Times New Roman" w:hAnsi="Times New Roman" w:eastAsia="Calibri" w:cs="Times New Roman"/>
          <w:sz w:val="26"/>
          <w:szCs w:val="26"/>
        </w:rPr>
        <w:t xml:space="preserve">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(распития) алкогольной продукции» которым узаконена розничная продажа алкогольной продукции при оказании услуг общественного питания в «летних кафе».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ноябрь</w:t>
      </w:r>
      <w:r>
        <w:rPr>
          <w:rFonts w:ascii="Times New Roman" w:hAnsi="Times New Roman" w:eastAsia="Calibri" w:cs="Times New Roman"/>
          <w:sz w:val="26"/>
          <w:szCs w:val="26"/>
        </w:rPr>
        <w:t xml:space="preserve"> 202</w:t>
      </w:r>
      <w:r>
        <w:rPr>
          <w:rFonts w:ascii="Times New Roman" w:hAnsi="Times New Roman" w:eastAsia="Calibri" w:cs="Times New Roman"/>
          <w:sz w:val="26"/>
          <w:szCs w:val="26"/>
        </w:rPr>
        <w:t xml:space="preserve">5</w:t>
      </w:r>
      <w:r>
        <w:rPr>
          <w:rFonts w:ascii="Times New Roman" w:hAnsi="Times New Roman" w:eastAsia="Calibri" w:cs="Times New Roman"/>
          <w:sz w:val="26"/>
          <w:szCs w:val="26"/>
        </w:rPr>
        <w:t xml:space="preserve"> года.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 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постановления Правительства области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устан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авливаются: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</w:t>
      </w:r>
      <w:r>
        <w:t xml:space="preserve">;</w:t>
      </w:r>
      <w:r/>
    </w:p>
    <w:p>
      <w:pPr>
        <w:pStyle w:val="660"/>
        <w:ind w:left="0" w:right="0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bookmarkStart w:id="0" w:name="undefined"/>
      <w:r>
        <w:rPr>
          <w:rFonts w:ascii="Times New Roman" w:hAnsi="Times New Roman" w:eastAsia="Arial" w:cs="Times New Roman"/>
          <w:b w:val="0"/>
          <w:bCs w:val="0"/>
          <w:sz w:val="26"/>
          <w:szCs w:val="26"/>
        </w:rPr>
        <w:t xml:space="preserve">порядок выдачи </w:t>
      </w:r>
      <w:r>
        <w:rPr>
          <w:rFonts w:ascii="Times New Roman" w:hAnsi="Times New Roman" w:eastAsia="Arial" w:cs="Times New Roman"/>
          <w:b w:val="0"/>
          <w:bCs w:val="0"/>
          <w:sz w:val="26"/>
          <w:szCs w:val="26"/>
        </w:rPr>
        <w:t xml:space="preserve">документ</w:t>
      </w:r>
      <w:r>
        <w:rPr>
          <w:rFonts w:ascii="Times New Roman" w:hAnsi="Times New Roman" w:eastAsia="Arial" w:cs="Times New Roman"/>
          <w:b w:val="0"/>
          <w:bCs w:val="0"/>
          <w:sz w:val="26"/>
          <w:szCs w:val="26"/>
        </w:rPr>
        <w:t xml:space="preserve">а</w:t>
      </w:r>
      <w:r>
        <w:rPr>
          <w:rFonts w:ascii="Times New Roman" w:hAnsi="Times New Roman" w:eastAsia="Arial" w:cs="Times New Roman"/>
          <w:b w:val="0"/>
          <w:bCs w:val="0"/>
          <w:sz w:val="26"/>
          <w:szCs w:val="26"/>
        </w:rPr>
        <w:t xml:space="preserve">, подтверждающего соответствие сезонного зала (зоны) обслуживания посетителей требованиям к размещению </w:t>
      </w:r>
      <w:r>
        <w:rPr>
          <w:rFonts w:ascii="Times New Roman" w:hAnsi="Times New Roman" w:eastAsia="Arial" w:cs="Times New Roman"/>
          <w:b w:val="0"/>
          <w:bCs w:val="0"/>
          <w:sz w:val="26"/>
          <w:szCs w:val="26"/>
        </w:rPr>
        <w:t xml:space="preserve">и обустройству сезонных залов (зон)</w:t>
      </w:r>
      <w:bookmarkEnd w:id="0"/>
      <w:r>
        <w:rPr>
          <w:rFonts w:ascii="Times New Roman" w:hAnsi="Times New Roman" w:eastAsia="Arial" w:cs="Times New Roman"/>
          <w:b w:val="0"/>
          <w:bCs w:val="0"/>
          <w:sz w:val="26"/>
          <w:szCs w:val="26"/>
        </w:rPr>
        <w:t xml:space="preserve"> </w:t>
      </w:r>
      <w:bookmarkStart w:id="1" w:name="bookmark3"/>
      <w:r>
        <w:rPr>
          <w:rFonts w:ascii="Times New Roman" w:hAnsi="Times New Roman" w:eastAsia="Arial" w:cs="Times New Roman"/>
          <w:b w:val="0"/>
          <w:bCs w:val="0"/>
          <w:sz w:val="26"/>
          <w:szCs w:val="26"/>
        </w:rPr>
        <w:t xml:space="preserve">обслуживания посетителей</w:t>
      </w:r>
      <w:bookmarkEnd w:id="1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Альтернативным способом решения вышеуказанной проблемы является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установление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запрета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розничной продажи алкогольной продукции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 сезонных залах (зонах) обслуживания посетителей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при оказании услуг общественного питания.</w:t>
      </w:r>
      <w:r>
        <w:rPr>
          <w:b/>
          <w:bCs/>
        </w:rPr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Белгородской области действует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порядка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130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залов (зон) обслуживания посетителей. Для осуществления розничной продажи алкогольной продукции в таких зонах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сезонный зал (зона) обслуживания посетителей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должен соответствовать установленным требованиям:</w:t>
      </w:r>
      <w:r/>
    </w:p>
    <w:p>
      <w:pPr>
        <w:pStyle w:val="699"/>
        <w:numPr>
          <w:ilvl w:val="0"/>
          <w:numId w:val="1"/>
        </w:numPr>
        <w:ind w:left="992" w:right="0" w:hanging="283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асположен на расстоянии не более 5 метров от входа в помещение объекта общественного питания;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pStyle w:val="699"/>
        <w:numPr>
          <w:ilvl w:val="0"/>
          <w:numId w:val="1"/>
        </w:numPr>
        <w:ind w:left="992" w:right="0" w:hanging="283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расположение</w:t>
      </w:r>
      <w:r>
        <w:rPr>
          <w:rFonts w:ascii="Times New Roman" w:hAnsi="Times New Roman"/>
          <w:sz w:val="26"/>
          <w:szCs w:val="26"/>
        </w:rPr>
        <w:t xml:space="preserve"> не должно нарушать права собственников и пользователей соседних </w:t>
      </w:r>
      <w:r>
        <w:rPr>
          <w:rFonts w:ascii="Times New Roman" w:hAnsi="Times New Roman"/>
          <w:sz w:val="26"/>
          <w:szCs w:val="26"/>
        </w:rPr>
        <w:t xml:space="preserve">земельных участков</w:t>
      </w:r>
      <w:r>
        <w:rPr>
          <w:rFonts w:ascii="Times New Roman" w:hAnsi="Times New Roman"/>
          <w:sz w:val="26"/>
          <w:szCs w:val="26"/>
        </w:rPr>
        <w:t xml:space="preserve">, зданий, строений, сооружений, а также не </w:t>
      </w:r>
      <w:r>
        <w:rPr>
          <w:rFonts w:ascii="Times New Roman" w:hAnsi="Times New Roman"/>
          <w:sz w:val="26"/>
          <w:szCs w:val="26"/>
        </w:rPr>
        <w:t xml:space="preserve">создавать</w:t>
      </w:r>
      <w:r>
        <w:rPr>
          <w:rFonts w:ascii="Times New Roman" w:hAnsi="Times New Roman"/>
          <w:sz w:val="26"/>
          <w:szCs w:val="26"/>
        </w:rPr>
        <w:t xml:space="preserve"> препятстви</w:t>
      </w:r>
      <w:r>
        <w:rPr>
          <w:rFonts w:ascii="Times New Roman" w:hAnsi="Times New Roman"/>
          <w:sz w:val="26"/>
          <w:szCs w:val="26"/>
        </w:rPr>
        <w:t xml:space="preserve">й</w:t>
      </w:r>
      <w:r>
        <w:rPr>
          <w:rFonts w:ascii="Times New Roman" w:hAnsi="Times New Roman"/>
          <w:sz w:val="26"/>
          <w:szCs w:val="26"/>
        </w:rPr>
        <w:t xml:space="preserve"> для пешеходов и движения автотранспорта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pStyle w:val="699"/>
        <w:numPr>
          <w:ilvl w:val="0"/>
          <w:numId w:val="1"/>
        </w:numPr>
        <w:ind w:left="992" w:right="0" w:hanging="283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</w:rPr>
        <w:t xml:space="preserve">площадь сезонного зала (зоны) не должна</w:t>
      </w:r>
      <w:r>
        <w:rPr>
          <w:rFonts w:ascii="Times New Roman" w:hAnsi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превышать площадь объекта общественного питания, при котором он размещается;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pStyle w:val="699"/>
        <w:numPr>
          <w:ilvl w:val="0"/>
          <w:numId w:val="1"/>
        </w:numPr>
        <w:ind w:left="992" w:right="0" w:hanging="283"/>
        <w:jc w:val="both"/>
        <w:spacing w:after="0" w:line="288" w:lineRule="atLeast"/>
        <w:rPr>
          <w:rFonts w:ascii="Times New Roman" w:hAnsi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  <w:t xml:space="preserve">размещение сезонных залов </w:t>
      </w:r>
      <w:r>
        <w:rPr>
          <w:rFonts w:ascii="Times New Roman" w:hAnsi="Times New Roman" w:cs="Times New Roman"/>
          <w:sz w:val="26"/>
          <w:szCs w:val="26"/>
        </w:rPr>
        <w:t xml:space="preserve">должно осуществляться </w:t>
      </w:r>
      <w:r>
        <w:rPr>
          <w:rFonts w:ascii="Times New Roman" w:hAnsi="Times New Roman" w:cs="Times New Roman"/>
          <w:sz w:val="26"/>
          <w:szCs w:val="26"/>
        </w:rPr>
        <w:t xml:space="preserve">с соблюдением требований градостроительных, архитектурных, пожарных, санитарных норм, правил и нормативов,</w:t>
      </w:r>
      <w:r>
        <w:rPr>
          <w:rFonts w:ascii="Times New Roman" w:hAnsi="Times New Roman" w:cs="Times New Roman"/>
          <w:sz w:val="26"/>
          <w:szCs w:val="26"/>
        </w:rPr>
        <w:t xml:space="preserve"> соответствовать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"https://login.consultant.ru/link/?req=doc&amp;base=RLAW358&amp;n=168388&amp;dst=100964"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правил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ам благоустройства террит</w:t>
      </w:r>
      <w:r>
        <w:rPr>
          <w:rFonts w:ascii="Times New Roman" w:hAnsi="Times New Roman" w:cs="Times New Roman"/>
          <w:sz w:val="26"/>
          <w:szCs w:val="26"/>
        </w:rPr>
        <w:t xml:space="preserve">ории муниципального образования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не </w:t>
      </w:r>
      <w:r>
        <w:rPr>
          <w:rFonts w:ascii="Times New Roman" w:hAnsi="Times New Roman" w:cs="Times New Roman"/>
          <w:sz w:val="26"/>
          <w:szCs w:val="26"/>
        </w:rPr>
        <w:t xml:space="preserve">нарушать его внешний архитектурно-художественный облик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Соблюдение индивидуальными предпринимателями, осуществляющими розничную продажу алкогольной продукции, вышеперечисленных требований не повлечет дополнительных затрат хозяйствующих  субъектов.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Кроме того, постановлением Правительства Белгородской области предусмотрено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  <w:t xml:space="preserve">требование по </w:t>
      </w:r>
      <w:r>
        <w:rPr>
          <w:rFonts w:ascii="Times New Roman" w:hAnsi="Times New Roman"/>
          <w:b/>
          <w:bCs/>
          <w:sz w:val="26"/>
          <w:szCs w:val="26"/>
        </w:rPr>
        <w:t xml:space="preserve">обустройству сезонного зала (зоны) обслуживания посетителей с учетом обеспечения его доступности для маломобильных групп населения (путем использования пандусов, поручней, специальных тактильных и сигнальных маркировок).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r>
      <w:r/>
    </w:p>
    <w:p>
      <w:pPr>
        <w:ind w:firstLine="709"/>
        <w:jc w:val="center"/>
        <w:spacing w:after="0" w:line="288" w:lineRule="atLeast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  <w:t xml:space="preserve">Затраты хозяйствующих субъектов на соблюдение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ind w:firstLine="709"/>
        <w:jc w:val="center"/>
        <w:spacing w:after="0" w:line="288" w:lineRule="atLeast"/>
        <w:rPr>
          <w:rFonts w:ascii="Times New Roman" w:hAnsi="Times New Roman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  <w:t xml:space="preserve"> обязательного требования по обеспечению </w:t>
      </w:r>
      <w:r>
        <w:rPr>
          <w:rFonts w:ascii="Times New Roman" w:hAnsi="Times New Roman"/>
          <w:b/>
          <w:bCs/>
          <w:sz w:val="26"/>
          <w:szCs w:val="26"/>
        </w:rPr>
        <w:t xml:space="preserve">доступности для маломобильных групп населения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ind w:firstLine="709"/>
        <w:jc w:val="center"/>
        <w:spacing w:after="0" w:line="288" w:lineRule="atLeast"/>
        <w:rPr>
          <w:b w:val="0"/>
          <w:bCs w:val="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(средняя стоимость оборудования в 2024 г. согласно данным в информационной сети Интернет)</w:t>
      </w:r>
      <w:r>
        <w:rPr>
          <w:b w:val="0"/>
          <w:bCs w:val="0"/>
          <w:sz w:val="20"/>
          <w:szCs w:val="20"/>
        </w:rPr>
      </w:r>
      <w:r/>
    </w:p>
    <w:p>
      <w:pPr>
        <w:ind w:firstLine="709"/>
        <w:jc w:val="center"/>
        <w:spacing w:after="0" w:line="288" w:lineRule="atLeast"/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54" w:lineRule="auto"/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u w:val="single"/>
          <w:lang w:eastAsia="ru-RU"/>
        </w:rPr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Оборудование для обустройства входной группы и прилегающих территорий: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u w:val="single"/>
          <w:lang w:eastAsia="ru-RU"/>
        </w:rPr>
      </w:r>
      <w:r/>
    </w:p>
    <w:p>
      <w:pPr>
        <w:pStyle w:val="661"/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Беспроводная кнопка вызова помощи А310 - 9200 руб.;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- Откидной пандус из оцинкованной стали, длиной до 2,5 м. - 19000 руб;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- Тактильные пиктограммы (вывески, таблички) с азбукой Брайля - 9610 руб.;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- Тактильная плитка для помещений (10 шт. по 170 руб) - 17000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Оборудование внутри помещений:</w:t>
      </w:r>
      <w:r>
        <w:rPr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Пандус для преодоления препятствий и порогов - 7100 руб.;                                                     -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Тактильный знак пиктограмма СП-101-2001 (4 шт. по 1230 руб.) - 4920 руб.                 </w:t>
      </w:r>
      <w:r>
        <w:rPr>
          <w:rFonts w:ascii="Times New Roman" w:hAnsi="Times New Roman" w:eastAsia="Tahoma" w:cs="Times New Roman"/>
          <w:b/>
          <w:bCs/>
          <w:color w:val="000000" w:themeColor="text1"/>
          <w:sz w:val="26"/>
          <w:szCs w:val="26"/>
        </w:rPr>
        <w:t xml:space="preserve">Общая стоимость затрат: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66,83 тыс. руб.*130 ед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= 8678,9 тыс. руб. (единоразово).</w:t>
      </w:r>
      <w:r>
        <w:rPr>
          <w:rFonts w:ascii="Times New Roman" w:hAnsi="Times New Roman" w:eastAsia="Tahoma" w:cs="Times New Roman"/>
          <w:b/>
          <w:bCs/>
          <w:color w:val="000000" w:themeColor="text1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Возможная упущенная выгода хозяйствующих субъектов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от альтернативного варианта нормативного регулирования - установление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запрета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розничной продажи алкогольной продукции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 сезонных залах (зонах) обслуживания посетителей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при оказании услуг общественного питания.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В среднем за 1 час реализуется 2 л. крепкой алкогольной продукции </w:t>
      </w:r>
      <w:r>
        <w:rPr>
          <w:rFonts w:ascii="Times New Roman" w:hAnsi="Times New Roman" w:cs="Times New Roman"/>
          <w:sz w:val="26"/>
          <w:szCs w:val="26"/>
        </w:rPr>
        <w:br/>
        <w:t xml:space="preserve">по средней цене за 1 л. 600 руб</w:t>
      </w:r>
      <w:r>
        <w:rPr>
          <w:rFonts w:ascii="Times New Roman" w:hAnsi="Times New Roman" w:cs="Times New Roman"/>
          <w:sz w:val="26"/>
          <w:szCs w:val="26"/>
        </w:rPr>
        <w:t xml:space="preserve">лей</w:t>
      </w:r>
      <w:r>
        <w:rPr>
          <w:rFonts w:ascii="Times New Roman" w:hAnsi="Times New Roman" w:cs="Times New Roman"/>
          <w:sz w:val="26"/>
          <w:szCs w:val="26"/>
        </w:rPr>
        <w:t xml:space="preserve"> и 3 л. пива и пивных напитков по средней цене </w:t>
      </w:r>
      <w:r>
        <w:rPr>
          <w:rFonts w:ascii="Times New Roman" w:hAnsi="Times New Roman" w:cs="Times New Roman"/>
          <w:sz w:val="26"/>
          <w:szCs w:val="26"/>
        </w:rPr>
        <w:br/>
        <w:t xml:space="preserve">за 1 л. 300 руб</w:t>
      </w:r>
      <w:r>
        <w:rPr>
          <w:rFonts w:ascii="Times New Roman" w:hAnsi="Times New Roman" w:cs="Times New Roman"/>
          <w:sz w:val="26"/>
          <w:szCs w:val="26"/>
        </w:rPr>
        <w:t xml:space="preserve">лей.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Установление запрета на продажу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алкогольной продукции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в сезонных залах (зонах) обслуживания посетителей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 сократит выручку объекта торговли минимум в 2 раза: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Возможная упущенная выгода (выручка)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сезонного зала (зоны) обслуживания посетителей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попадающих в зону действия ограничений, при полном запрете на продажу алкогольных напитков составит: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залов (зон) обслуживания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, реализующих алкогольную продукцию: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24 л. * 600 руб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* 30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дн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*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ед. =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17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280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,0 тыс. руб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./2 = 8640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тыс. руб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в месяц;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залов (зон) обслуживания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, реализующих пиво и пивные напитки: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36 л. * 300 руб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* 30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дн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* 90 ед. = 29160,0 тыс./2 = 14580 тыс. руб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. в месяц.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Размер упущенной выгоды (выручки)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130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залов (зон) обслуживания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(из расчета полного запрета продажи алкогольной продукции) за месяц –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23220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 тыс. руб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лей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pacing w:val="-2"/>
          <w:sz w:val="26"/>
          <w:szCs w:val="26"/>
        </w:rPr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4.3. Обоснование выбора предлагаемого способа решения проблемы: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Оптимальным вариантом решения проблемы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министерство сельского хозяйства и продовольствия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Белгородск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ой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област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считает принятие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проекта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постановления Правительства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Белгородской области «О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б утверждении требований к размещению и обустройству сезонных залов (зон) обслуживания п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осетителей, в которых может осуществляться розничная продажа алкогольной продукции при оказании услуг общественного питания, а также порядка выдачи документа, подтверждающего соответствие сезонного зала (зоны) обслуживания посетителей указанным требованиям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. Подготовленный проект нормативного правового акта позволит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Arial" w:cs="Times New Roman"/>
          <w:sz w:val="26"/>
          <w:szCs w:val="26"/>
          <w:lang w:eastAsia="en-US"/>
        </w:rPr>
        <w:t xml:space="preserve">организациям и индивидуальным предпринимателям, оказывающим услуги общественного питания на территории Белгородской области,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реализовать право </w:t>
      </w:r>
      <w:r>
        <w:rPr>
          <w:rFonts w:ascii="Times New Roman" w:hAnsi="Times New Roman" w:eastAsia="Arial" w:cs="Times New Roman"/>
          <w:sz w:val="26"/>
          <w:szCs w:val="26"/>
          <w:lang w:eastAsia="en-US"/>
        </w:rPr>
        <w:t xml:space="preserve">на осуществление розничной продажи алкогольной продукции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залах (зонах) обслуживания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посетителей, с учетом соблюдения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установленных требований к их размещению и обустройству.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Согласно расчетным данным,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соответствие установленным требованиям </w:t>
        <w:br/>
        <w:t xml:space="preserve">может повлечь дополнительные затраты хозяйствующих субъектов в размере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8678,9 тыс. руб.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(единоразово).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В случае же полного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запрета продажи алкогольной продукции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Arial" w:cs="Times New Roman"/>
          <w:sz w:val="26"/>
          <w:szCs w:val="26"/>
          <w:lang w:eastAsia="en-US"/>
        </w:rPr>
        <w:t xml:space="preserve">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залах (зонах) обслуживания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- упущенная выгода (выручка)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составит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23220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 тыс. руб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(в месяц).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ru-RU"/>
        </w:rPr>
        <w:t xml:space="preserve">Кроме того, установленные обязательные требования позволят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обеспечить минимизацию рисков и предотвращение негативных социальных или экономических последствий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от введения нормативного правового регулирования.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Предлагаемый запрет коснется только тех хозяйствующих субъектов, которые расположены в многоквартирных домах и на прилегающих к ним территориях, в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которых осуществляется розничная продажа алкогольной продукции при оказании услуг общественного питания.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4"/>
        <w:gridCol w:w="3403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4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Организации, осуществляющие розничную продажу алкогольной продукции, и индивидуальные предприниматели,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имеющие сезонные залы (зоны) обслуживания посетителей, в которых может осуществляться розничная продажа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порядка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объектов общественного питания, имеющих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сезонные залы (зоны) обслуживания посетителей, в которых может осуществляться розничная продажа алкогольной продукции при оказании услуг общественного питания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544"/>
        <w:gridCol w:w="297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лей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Организации, осуществляющие розничную продажу алкогольной продукции, и индивидуальные предприниматели,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имеющие сезонные залы (зоны) обслуживания посетителей, в которых может осуществляться розничная продажа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660"/>
              <w:jc w:val="left"/>
              <w:spacing w:after="1" w:line="220" w:lineRule="atLeast"/>
              <w:rPr>
                <w:rFonts w:ascii="Times New Roman" w:hAnsi="Times New Roman" w:cs="Times New Roman"/>
                <w:b w:val="0"/>
                <w:bCs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 Установлены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6"/>
                <w:szCs w:val="26"/>
                <w:lang w:eastAsia="ru-RU"/>
              </w:rPr>
              <w:t xml:space="preserve">требо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6"/>
                <w:szCs w:val="26"/>
                <w:lang w:eastAsia="ru-RU"/>
              </w:rPr>
              <w:t xml:space="preserve">вания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6"/>
                <w:szCs w:val="26"/>
              </w:rPr>
            </w:r>
            <w:r/>
          </w:p>
          <w:p>
            <w:pPr>
              <w:pStyle w:val="660"/>
              <w:jc w:val="left"/>
              <w:spacing w:after="1" w:line="220" w:lineRule="atLeast"/>
              <w:rPr>
                <w:rFonts w:ascii="Times New Roman" w:hAnsi="Times New Roman" w:cs="Times New Roman"/>
                <w:b w:val="0"/>
                <w:bCs w:val="0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trike w:val="0"/>
                <w:sz w:val="26"/>
                <w:szCs w:val="26"/>
              </w:rPr>
              <w:t xml:space="preserve">к размещению и обустройству сезонных залов (зон)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6"/>
                <w:szCs w:val="26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eastAsia="Arial" w:cs="Times New Roman"/>
                <w:b w:val="0"/>
                <w:bCs w:val="0"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trike w:val="0"/>
                <w:sz w:val="26"/>
                <w:szCs w:val="26"/>
              </w:rPr>
              <w:t xml:space="preserve">обслуживания посетителей, в которых может осуществлят</w:t>
            </w:r>
            <w:r>
              <w:rPr>
                <w:rFonts w:ascii="Times New Roman" w:hAnsi="Times New Roman" w:eastAsia="Arial" w:cs="Times New Roman"/>
                <w:b w:val="0"/>
                <w:bCs w:val="0"/>
                <w:strike w:val="0"/>
                <w:sz w:val="26"/>
                <w:szCs w:val="26"/>
              </w:rPr>
              <w:t xml:space="preserve">ь</w:t>
            </w:r>
            <w:r>
              <w:rPr>
                <w:rFonts w:ascii="Times New Roman" w:hAnsi="Times New Roman" w:eastAsia="Arial" w:cs="Times New Roman"/>
                <w:b w:val="0"/>
                <w:bCs w:val="0"/>
                <w:strike w:val="0"/>
                <w:sz w:val="26"/>
                <w:szCs w:val="26"/>
              </w:rPr>
              <w:t xml:space="preserve">ся розничная продажа алкогольной продукции при оказании услуг общественного питания;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6"/>
                <w:szCs w:val="26"/>
              </w:rPr>
            </w:r>
            <w:r/>
          </w:p>
          <w:p>
            <w:pPr>
              <w:pStyle w:val="66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trike w:val="0"/>
                <w:sz w:val="26"/>
                <w:szCs w:val="26"/>
                <w:highlight w:val="none"/>
              </w:rPr>
              <w:t xml:space="preserve">- </w:t>
            </w:r>
            <w:r>
              <w:rPr>
                <w:rFonts w:ascii="Times New Roman" w:hAnsi="Times New Roman" w:eastAsia="Arial" w:cs="Times New Roman"/>
                <w:b w:val="0"/>
                <w:bCs w:val="0"/>
                <w:strike w:val="0"/>
                <w:sz w:val="26"/>
                <w:szCs w:val="26"/>
                <w:highlight w:val="none"/>
              </w:rPr>
              <w:t xml:space="preserve">Определен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6"/>
                <w:szCs w:val="26"/>
              </w:rPr>
              <w:t xml:space="preserve">порядок выдачи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6"/>
                <w:szCs w:val="26"/>
              </w:rPr>
              <w:t xml:space="preserve">документ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6"/>
                <w:szCs w:val="26"/>
              </w:rPr>
              <w:t xml:space="preserve">, подтверждающего соответствие сезонного зала (зоны) обслуживания посетителей требованиям к размещению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6"/>
                <w:szCs w:val="26"/>
              </w:rPr>
              <w:t xml:space="preserve">и обустройству сезонных залов (зон)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6"/>
                <w:szCs w:val="26"/>
              </w:rPr>
              <w:t xml:space="preserve">обслуживания посетителей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Возможны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дополнительные затраты хозяйствующих субъектов на оборудование, необходимое для обеспечения доступности для маломобильных групп населения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8678,9 тыс. руб.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(единоразово).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изменении:*</w:t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252"/>
        <w:gridCol w:w="21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Региональный государственный контроль (надзор) в области розничной продажи алкогольной и спиртосодержащей продукции будет осуществляться департаментом в рамках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Региональный государственный контроль (надзор) в области розничной продажи алкогольной и спиртосодержащей продукции будет осуществляться департаментом в рамках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Администрации муниципальных районов</w:t>
            </w: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муниципальных и городских округов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Выдача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области:*</w:t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268"/>
      </w:tblGrid>
      <w:tr>
        <w:trPr/>
        <w:tc>
          <w:tcPr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лей</w:t>
            </w:r>
            <w:r/>
          </w:p>
        </w:tc>
      </w:tr>
      <w:tr>
        <w:trPr/>
        <w:tc>
          <w:tcPr>
            <w:tcW w:w="32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не предусмотрено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2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не предусмотрено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Предусмотрено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утверждение 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843"/>
        <w:gridCol w:w="48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Нарушение 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Сведения о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б организациях, осуществляющих розничную продажу алкогольной продукции, и индивидуальных предпринимателях,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имеющих сезонные залы (зоны) обслуживания посетителей, в которых может осуществляться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находятся в распоряжении министерства сельского хозяйства и продовольствия Белгородской области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, а также администраций муниципальных образований области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. Нарушение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утвержденных требований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влечет ответственность в соответствии с действующим законодательством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843"/>
        <w:gridCol w:w="2126"/>
        <w:gridCol w:w="1418"/>
        <w:gridCol w:w="141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Размещение информации в СМИ о принятии закона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ноябрь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2024 года – март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2025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Осведомленность подконтрольных субъектов о порядке определения устанавливаемых ограничений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Учет субъектов в государственной информационной системе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постоянно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Проведение контрольных (надзорных)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Подготовка ежегодного доклада о состоянии регионального государственного надзора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ежегодно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Консультирование (разъяснение по вопросам, связанным с организацией и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осуществлением регионального государственного контроля (надзора)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по мере необходимости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Профилактика, минимизация наступления рисков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причинения вреда (ущерба)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2126"/>
        <w:gridCol w:w="1984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жалоб и обращений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несоблюдении утвержденных требований к размещению и обустройству сезонных залов (зон) обслуживани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посетителей, в которых может осуществляться розничная продажа алкогольной продукции при оказании услуг общественного питания, а также отсутствии документа, подтверждающего соответствие сезонного зала (зоны) обслуживания посетителей указанным требованиям.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Анализ количества выявленных нарушений обязательных требований за истекший период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май 2025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1 марта 2025 года.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566" w:bottom="39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</w:style>
  <w:style w:type="paragraph" w:styleId="661">
    <w:name w:val="Heading 1"/>
    <w:basedOn w:val="660"/>
    <w:next w:val="660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basedOn w:val="670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70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70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7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70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7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70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7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7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60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60"/>
    <w:next w:val="660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Название Знак"/>
    <w:basedOn w:val="670"/>
    <w:link w:val="701"/>
    <w:uiPriority w:val="10"/>
    <w:rPr>
      <w:sz w:val="48"/>
      <w:szCs w:val="48"/>
    </w:rPr>
  </w:style>
  <w:style w:type="paragraph" w:styleId="703">
    <w:name w:val="Subtitle"/>
    <w:basedOn w:val="660"/>
    <w:next w:val="660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70"/>
    <w:link w:val="703"/>
    <w:uiPriority w:val="11"/>
    <w:rPr>
      <w:sz w:val="24"/>
      <w:szCs w:val="24"/>
    </w:rPr>
  </w:style>
  <w:style w:type="paragraph" w:styleId="705">
    <w:name w:val="Quote"/>
    <w:basedOn w:val="660"/>
    <w:next w:val="660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0"/>
    <w:next w:val="660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60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70"/>
    <w:link w:val="709"/>
    <w:uiPriority w:val="99"/>
  </w:style>
  <w:style w:type="paragraph" w:styleId="711">
    <w:name w:val="Footer"/>
    <w:basedOn w:val="660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70"/>
    <w:uiPriority w:val="99"/>
  </w:style>
  <w:style w:type="paragraph" w:styleId="713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660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70"/>
    <w:uiPriority w:val="99"/>
    <w:unhideWhenUsed/>
    <w:rPr>
      <w:vertAlign w:val="superscript"/>
    </w:rPr>
  </w:style>
  <w:style w:type="paragraph" w:styleId="845">
    <w:name w:val="endnote text"/>
    <w:basedOn w:val="660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70"/>
    <w:uiPriority w:val="99"/>
    <w:semiHidden/>
    <w:unhideWhenUsed/>
    <w:rPr>
      <w:vertAlign w:val="superscript"/>
    </w:rPr>
  </w:style>
  <w:style w:type="paragraph" w:styleId="848">
    <w:name w:val="toc 1"/>
    <w:basedOn w:val="660"/>
    <w:next w:val="660"/>
    <w:uiPriority w:val="39"/>
    <w:unhideWhenUsed/>
    <w:pPr>
      <w:spacing w:after="57"/>
    </w:pPr>
  </w:style>
  <w:style w:type="paragraph" w:styleId="84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5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5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0"/>
    <w:next w:val="660"/>
    <w:uiPriority w:val="99"/>
    <w:unhideWhenUsed/>
    <w:pPr>
      <w:spacing w:after="0"/>
    </w:pPr>
  </w:style>
  <w:style w:type="paragraph" w:styleId="85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2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3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65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66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7" w:customStyle="1">
    <w:name w:val="Знак"/>
    <w:basedOn w:val="66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8" w:customStyle="1">
    <w:name w:val="Обычный (веб)1"/>
    <w:uiPriority w:val="99"/>
    <w:semiHidden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0EA5-F6D8-461C-A428-A8D6CB2F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128</cp:revision>
  <dcterms:created xsi:type="dcterms:W3CDTF">2022-04-27T14:18:00Z</dcterms:created>
  <dcterms:modified xsi:type="dcterms:W3CDTF">2024-12-03T12:06:12Z</dcterms:modified>
</cp:coreProperties>
</file>