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highlight w:val="none"/>
        </w:rPr>
        <w:t xml:space="preserve">ПРОЕКТ</w:t>
      </w:r>
      <w:r>
        <w:rPr>
          <w:b/>
          <w:sz w:val="24"/>
          <w:highlight w:val="none"/>
        </w:rPr>
      </w:r>
    </w:p>
    <w:p>
      <w:pPr>
        <w:jc w:val="right"/>
      </w:pP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</w:rPr>
        <w:t xml:space="preserve">Заключение об экспертизе</w:t>
      </w:r>
      <w:r/>
    </w:p>
    <w:p>
      <w:pPr>
        <w:jc w:val="center"/>
      </w:pPr>
      <w:r/>
      <w:r/>
    </w:p>
    <w:p>
      <w:pPr>
        <w:jc w:val="center"/>
      </w:pPr>
      <w:r>
        <w:rPr>
          <w:rFonts w:ascii="TimesNewRoman" w:hAnsi="TimesNewRoman" w:eastAsia="TimesNewRoman" w:cs="TimesNewRoman"/>
          <w:sz w:val="24"/>
        </w:rPr>
        <w:t xml:space="preserve">постановления главы администрации Белгородской области </w:t>
      </w:r>
      <w:r>
        <w:rPr>
          <w:rFonts w:ascii="TimesNewRoman" w:hAnsi="TimesNewRoman" w:eastAsia="TimesNewRoman" w:cs="TimesNewRoman"/>
          <w:sz w:val="24"/>
        </w:rPr>
        <w:br/>
        <w:t xml:space="preserve">от 30 ноября 1994 года </w:t>
      </w:r>
      <w:r>
        <w:rPr>
          <w:rFonts w:ascii="TimesNewRoman" w:hAnsi="TimesNewRoman" w:eastAsia="TimesNewRoman" w:cs="TimesNewRoman"/>
          <w:sz w:val="24"/>
        </w:rPr>
        <w:t xml:space="preserve">№ 615 «О сертификации товаров (работ, услуг), выпускаемых (выполняемых) мелкими товаропроизводителями»</w:t>
      </w:r>
      <w:r/>
    </w:p>
    <w:p>
      <w:pPr>
        <w:jc w:val="both"/>
      </w:pPr>
      <w:r/>
      <w:r/>
    </w:p>
    <w:p>
      <w:pPr>
        <w:ind w:firstLine="708"/>
        <w:jc w:val="both"/>
        <w:rPr>
          <w:rFonts w:eastAsia="Calibri"/>
        </w:rPr>
      </w:pPr>
      <w:r>
        <w:rPr>
          <w:rFonts w:eastAsia="Calibri"/>
          <w:sz w:val="24"/>
          <w:lang w:eastAsia="en-US"/>
        </w:rPr>
        <w:t xml:space="preserve">Министерством экономического развития и промышленности Белгородской области </w:t>
      </w:r>
      <w:r>
        <w:rPr>
          <w:rFonts w:eastAsia="Calibri"/>
          <w:sz w:val="24"/>
          <w:lang w:eastAsia="en-US"/>
        </w:rPr>
        <w:br/>
        <w:t xml:space="preserve">в соответствии с по</w:t>
      </w:r>
      <w:r>
        <w:rPr>
          <w:rFonts w:eastAsia="Calibri"/>
          <w:sz w:val="24"/>
          <w:lang w:eastAsia="en-US"/>
        </w:rPr>
        <w:t xml:space="preserve">становлением Правительства Белгородской области от 13 октября 2014 года № 378-пп в рамках Положения о проведении оценки регулирующего воздействия проектов нормативных правовых актов и экспертизы нормативных правовых актов Белгородской области</w:t>
      </w:r>
      <w:r>
        <w:rPr>
          <w:rFonts w:eastAsia="Calibri"/>
          <w:sz w:val="24"/>
          <w:lang w:eastAsia="en-US"/>
        </w:rPr>
        <w:t xml:space="preserve"> рассмотрено </w:t>
      </w:r>
      <w:r>
        <w:rPr>
          <w:rFonts w:ascii="TimesNewRoman" w:hAnsi="TimesNewRoman" w:eastAsia="TimesNewRoman" w:cs="TimesNewRoman"/>
          <w:sz w:val="24"/>
        </w:rPr>
        <w:t xml:space="preserve">постановление главы администрации Белгородской области от 30 ноября 1994 года № 615 «О сертификации товаров (работ, услуг), выпускаемых (выполняемых) мелкими товаропроизводителями»</w:t>
      </w:r>
      <w:r>
        <w:rPr>
          <w:sz w:val="24"/>
        </w:rPr>
        <w:t xml:space="preserve">.</w:t>
      </w:r>
      <w:r/>
    </w:p>
    <w:p>
      <w:pPr>
        <w:ind w:firstLine="708"/>
        <w:jc w:val="both"/>
      </w:pPr>
      <w:r>
        <w:rPr>
          <w:rFonts w:eastAsia="Calibri"/>
          <w:b/>
          <w:sz w:val="24"/>
          <w:lang w:eastAsia="en-US"/>
        </w:rPr>
        <w:t xml:space="preserve">1. Настоящее заключение подготовлено</w:t>
      </w:r>
      <w:r>
        <w:rPr>
          <w:rFonts w:eastAsia="Calibri"/>
          <w:sz w:val="24"/>
          <w:lang w:eastAsia="en-US"/>
        </w:rPr>
        <w:t xml:space="preserve"> впервые.</w:t>
      </w:r>
      <w:r/>
    </w:p>
    <w:p>
      <w:pPr>
        <w:ind w:firstLine="708"/>
        <w:jc w:val="both"/>
        <w:rPr>
          <w:color w:val="000000" w:themeColor="text1"/>
          <w:sz w:val="24"/>
        </w:rPr>
      </w:pPr>
      <w:r>
        <w:rPr>
          <w:rFonts w:eastAsia="Calibri"/>
          <w:b/>
          <w:color w:val="000000" w:themeColor="text1"/>
          <w:sz w:val="24"/>
          <w:lang w:eastAsia="en-US"/>
        </w:rPr>
        <w:t xml:space="preserve">2. Уполномоченным органом пр</w:t>
      </w:r>
      <w:r>
        <w:rPr>
          <w:rFonts w:eastAsia="Calibri"/>
          <w:b/>
          <w:color w:val="000000" w:themeColor="text1"/>
          <w:sz w:val="24"/>
          <w:lang w:eastAsia="en-US"/>
        </w:rPr>
        <w:t xml:space="preserve">оведены публичные консультации в сроки</w:t>
      </w:r>
      <w:r>
        <w:rPr>
          <w:rFonts w:eastAsia="Calibri"/>
          <w:color w:val="000000" w:themeColor="text1"/>
          <w:sz w:val="24"/>
          <w:lang w:eastAsia="en-US"/>
        </w:rPr>
        <w:t xml:space="preserve">: </w:t>
      </w:r>
      <w:r>
        <w:rPr>
          <w:rFonts w:eastAsia="Calibri"/>
          <w:color w:val="000000" w:themeColor="text1"/>
          <w:sz w:val="24"/>
          <w:lang w:eastAsia="en-US"/>
        </w:rPr>
        <w:br/>
        <w:t xml:space="preserve">с 5 мая по 5 июня 2025 года.</w:t>
      </w:r>
      <w:r/>
    </w:p>
    <w:p>
      <w:pPr>
        <w:ind w:firstLine="708"/>
        <w:jc w:val="both"/>
        <w:rPr>
          <w:b/>
          <w:bCs/>
          <w:color w:val="000000" w:themeColor="text1"/>
          <w:sz w:val="24"/>
        </w:rPr>
      </w:pPr>
      <w:r>
        <w:rPr>
          <w:rFonts w:eastAsia="Arial"/>
          <w:color w:val="000000" w:themeColor="text1"/>
          <w:sz w:val="24"/>
          <w:highlight w:val="white"/>
        </w:rPr>
        <w:t xml:space="preserve">18 июня 2025 года министерством экономического развития и промышленности Белгородской области проведено </w:t>
      </w:r>
      <w:r>
        <w:rPr>
          <w:rFonts w:eastAsia="Arial"/>
          <w:color w:val="000000" w:themeColor="text1"/>
          <w:sz w:val="24"/>
          <w:highlight w:val="white"/>
        </w:rPr>
        <w:t xml:space="preserve">заседание рабочей группы</w:t>
      </w:r>
      <w:r>
        <w:rPr>
          <w:rFonts w:eastAsia="Arial"/>
          <w:color w:val="000000" w:themeColor="text1"/>
          <w:sz w:val="24"/>
          <w:highlight w:val="white"/>
        </w:rPr>
        <w:t xml:space="preserve"> по оценке регулирующего воздействия. </w:t>
      </w:r>
      <w:r/>
    </w:p>
    <w:p>
      <w:pPr>
        <w:ind w:firstLine="708"/>
        <w:jc w:val="both"/>
      </w:pPr>
      <w:r>
        <w:rPr>
          <w:rFonts w:eastAsia="Calibri"/>
          <w:sz w:val="24"/>
          <w:lang w:eastAsia="en-US"/>
        </w:rPr>
        <w:t xml:space="preserve">В ходе проведения публичных консультаций участие в обсуждении постановления </w:t>
      </w:r>
      <w:r>
        <w:rPr>
          <w:rFonts w:ascii="TimesNewRoman" w:hAnsi="TimesNewRoman" w:eastAsia="TimesNewRoman" w:cs="TimesNewRoman"/>
          <w:sz w:val="24"/>
        </w:rPr>
        <w:t xml:space="preserve">главы администрации области</w:t>
      </w:r>
      <w:r>
        <w:rPr>
          <w:rFonts w:eastAsia="Calibri"/>
          <w:color w:val="000000" w:themeColor="text1"/>
          <w:sz w:val="24"/>
          <w:lang w:eastAsia="en-US"/>
        </w:rPr>
        <w:t xml:space="preserve"> приняли Союз «Торгово-промышленная палата Белгородской области», Уполномоченный по защите прав предпринимателей в Белгородской области, БРОО «ЦСИ «Вера»</w:t>
      </w:r>
      <w:r>
        <w:rPr>
          <w:rFonts w:eastAsia="Calibri"/>
          <w:color w:val="000000" w:themeColor="text1"/>
          <w:sz w:val="24"/>
          <w:lang w:eastAsia="en-US"/>
        </w:rPr>
        <w:t xml:space="preserve">. Поступило 10 предложений и замечаний. Отзывы участников приведены в сводке предложений.</w:t>
      </w:r>
      <w:r/>
    </w:p>
    <w:p>
      <w:pPr>
        <w:ind w:firstLine="709"/>
        <w:jc w:val="both"/>
      </w:pPr>
      <w:r>
        <w:rPr>
          <w:b/>
          <w:sz w:val="24"/>
        </w:rPr>
        <w:t xml:space="preserve">3. Информация об экспертизе нормативного правового акта размещена уполномоченным органом на официальном сайте в сети Интернет:</w:t>
      </w:r>
      <w:r>
        <w:rPr>
          <w:sz w:val="24"/>
        </w:rPr>
        <w:t xml:space="preserve"> </w:t>
      </w:r>
      <w:r>
        <w:rPr>
          <w:rFonts w:eastAsia="Calibri"/>
          <w:sz w:val="24"/>
          <w:lang w:eastAsia="en-US"/>
        </w:rPr>
        <w:t xml:space="preserve">на сайте министерства экономического ра</w:t>
      </w:r>
      <w:r>
        <w:rPr>
          <w:rFonts w:eastAsia="Calibri"/>
          <w:sz w:val="24"/>
          <w:lang w:eastAsia="en-US"/>
        </w:rPr>
        <w:t xml:space="preserve">звития и промышленности Белгородской области (http://minecprom.belregion.ru/deyatelnost/ocenka-reguliruyushego-vozdejstviya/ekspertiza/ekspertiza-postanovleniya-glavy-ad050525cii-belg/) и Инвестиционном портале Белгородской области (https://belgorodinvest.</w:t>
      </w:r>
      <w:r>
        <w:rPr>
          <w:rFonts w:eastAsia="Calibri"/>
          <w:sz w:val="24"/>
          <w:lang w:eastAsia="en-US"/>
        </w:rPr>
        <w:t xml:space="preserve">com/docs/otsenka-reguliruyushchego-vozdeystviya/#tab-201).  </w:t>
      </w:r>
      <w:r/>
    </w:p>
    <w:p>
      <w:pPr>
        <w:ind w:firstLine="708"/>
        <w:jc w:val="both"/>
        <w:widowControl w:val="off"/>
      </w:pPr>
      <w:r>
        <w:rPr>
          <w:b/>
          <w:sz w:val="24"/>
        </w:rPr>
        <w:t xml:space="preserve">4. На основе проведенной экспертизы нормативного правового акта, </w:t>
      </w:r>
      <w:r>
        <w:rPr>
          <w:b/>
          <w:sz w:val="24"/>
        </w:rPr>
        <w:br/>
        <w:t xml:space="preserve">с учетом информации полученной от органа разработчика, сделаны следующие выводы:</w:t>
      </w:r>
      <w:r/>
    </w:p>
    <w:p>
      <w:pPr>
        <w:contextualSpacing/>
        <w:ind w:firstLine="708"/>
        <w:jc w:val="both"/>
        <w:widowControl w:val="off"/>
        <w:tabs>
          <w:tab w:val="left" w:pos="0" w:leader="none"/>
        </w:tabs>
        <w:rPr>
          <w:color w:val="000000"/>
          <w:sz w:val="24"/>
        </w:rPr>
      </w:pPr>
      <w:r>
        <w:rPr>
          <w:sz w:val="24"/>
        </w:rPr>
        <w:t xml:space="preserve">4.1. </w:t>
      </w:r>
      <w:r>
        <w:rPr>
          <w:rFonts w:eastAsia="TimesNewRoman"/>
          <w:sz w:val="24"/>
        </w:rPr>
        <w:t xml:space="preserve">Постановлением главы администрации области </w:t>
      </w:r>
      <w:r>
        <w:rPr>
          <w:rFonts w:eastAsia="TimesNewRoman"/>
          <w:sz w:val="24"/>
        </w:rPr>
        <w:t xml:space="preserve">от 30 ноября 1994 года № 615 утвержден </w:t>
      </w:r>
      <w:r>
        <w:rPr>
          <w:sz w:val="24"/>
        </w:rPr>
        <w:t xml:space="preserve">п</w:t>
      </w:r>
      <w:hyperlink w:tooltip="#P34" w:anchor="P34" w:history="1">
        <w:r>
          <w:rPr>
            <w:color w:val="000000" w:themeColor="text1"/>
            <w:sz w:val="24"/>
          </w:rPr>
          <w:t xml:space="preserve">орядок</w:t>
        </w:r>
      </w:hyperlink>
      <w:r>
        <w:rPr>
          <w:color w:val="000000" w:themeColor="text1"/>
          <w:sz w:val="24"/>
        </w:rPr>
        <w:t xml:space="preserve"> сертификации товаров (работ, услуг), выпускаемых (выполняемых) мелкими товаропроизводителями и индивидуальными предпринимателями</w:t>
      </w:r>
      <w:r>
        <w:rPr>
          <w:sz w:val="24"/>
          <w:lang w:bidi="zh-CN"/>
        </w:rPr>
        <w:t xml:space="preserve">. Настоящий порядок разработан в целях </w:t>
      </w:r>
      <w:r>
        <w:rPr>
          <w:sz w:val="24"/>
        </w:rPr>
        <w:t xml:space="preserve">стимулирования мелких товаропроизводителей и индивидуальных предпринимателей на производство и</w:t>
      </w:r>
      <w:r>
        <w:rPr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z w:val="24"/>
        </w:rPr>
        <w:t xml:space="preserve"> </w:t>
      </w:r>
      <w:r>
        <w:rPr>
          <w:sz w:val="24"/>
        </w:rPr>
        <w:t xml:space="preserve">качественной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z w:val="24"/>
        </w:rPr>
        <w:t xml:space="preserve"> </w:t>
      </w:r>
      <w:r>
        <w:rPr>
          <w:sz w:val="24"/>
        </w:rPr>
        <w:t xml:space="preserve">продукции</w:t>
      </w:r>
      <w:r>
        <w:rPr>
          <w:color w:val="000000"/>
          <w:sz w:val="24"/>
        </w:rPr>
        <w:t xml:space="preserve">.</w:t>
      </w:r>
      <w:r/>
    </w:p>
    <w:p>
      <w:pPr>
        <w:contextualSpacing/>
        <w:ind w:firstLine="708"/>
        <w:jc w:val="both"/>
        <w:widowControl w:val="off"/>
        <w:tabs>
          <w:tab w:val="left" w:pos="0" w:leader="none"/>
        </w:tabs>
        <w:rPr>
          <w:sz w:val="24"/>
          <w:lang w:bidi="zh-CN"/>
        </w:rPr>
      </w:pPr>
      <w:r>
        <w:rPr>
          <w:sz w:val="24"/>
          <w:lang w:bidi="zh-CN"/>
        </w:rPr>
        <w:t xml:space="preserve">Установленные нормы </w:t>
      </w:r>
      <w:r>
        <w:rPr>
          <w:sz w:val="24"/>
        </w:rPr>
        <w:t xml:space="preserve">распространяются на деятельность мелких товаропроизводителей </w:t>
      </w:r>
      <w:r>
        <w:rPr>
          <w:sz w:val="24"/>
        </w:rPr>
        <w:t xml:space="preserve">и индивидуальных предпринимател</w:t>
      </w:r>
      <w:r>
        <w:rPr>
          <w:sz w:val="24"/>
        </w:rPr>
        <w:t xml:space="preserve">ей, зарегистрированных как юридическое или физическое лицо в соответствии с законодательством в установленном порядке.</w:t>
      </w:r>
      <w:r>
        <w:rPr>
          <w:sz w:val="24"/>
          <w:lang w:bidi="zh-CN"/>
        </w:rPr>
        <w:t xml:space="preserve"> Порядком определяется перечень документов и сведений, представляемых в орган по сертификации: заявление-декларация по форме, установленно</w:t>
      </w:r>
      <w:r>
        <w:rPr>
          <w:sz w:val="24"/>
          <w:lang w:bidi="zh-CN"/>
        </w:rPr>
        <w:t xml:space="preserve">й приложением к порядку, </w:t>
      </w:r>
      <w:r>
        <w:rPr>
          <w:sz w:val="24"/>
        </w:rPr>
        <w:t xml:space="preserve">паспорт, свидетельство </w:t>
      </w:r>
      <w:r>
        <w:rPr>
          <w:sz w:val="24"/>
        </w:rPr>
        <w:br/>
        <w:t xml:space="preserve">о регистрации в качестве юридического или физического лица, заключения государственных служб контроля на право деятельности. Вместе с документами заявитель представляет образцы вырабатываемой продукции для о</w:t>
      </w:r>
      <w:r>
        <w:rPr>
          <w:sz w:val="24"/>
        </w:rPr>
        <w:t xml:space="preserve">рганолептического и визуального контроля.</w:t>
      </w:r>
      <w:r/>
    </w:p>
    <w:p>
      <w:pPr>
        <w:contextualSpacing/>
        <w:ind w:firstLine="709"/>
        <w:jc w:val="both"/>
        <w:rPr>
          <w:sz w:val="24"/>
        </w:rPr>
      </w:pPr>
      <w:r>
        <w:rPr>
          <w:sz w:val="24"/>
        </w:rPr>
        <w:t xml:space="preserve">В результате </w:t>
      </w:r>
      <w:r>
        <w:rPr>
          <w:sz w:val="24"/>
        </w:rPr>
        <w:t xml:space="preserve">анализа</w:t>
      </w:r>
      <w:r>
        <w:rPr>
          <w:sz w:val="24"/>
        </w:rPr>
        <w:t xml:space="preserve"> действующего в данной сфере законодательства выявлено:</w:t>
      </w:r>
      <w:r>
        <w:rPr>
          <w:sz w:val="24"/>
        </w:rPr>
        <w:t xml:space="preserve"> </w:t>
      </w:r>
      <w:r>
        <w:rPr>
          <w:sz w:val="24"/>
        </w:rPr>
        <w:t xml:space="preserve">обязательные требования к товару (работе, услуге) по качеству и безопасности устанавливаются законодательно и содержатся в технических рег</w:t>
      </w:r>
      <w:r>
        <w:rPr>
          <w:sz w:val="24"/>
        </w:rPr>
        <w:t xml:space="preserve">ламентах на соответствующие группы товаров (работ, услуг). </w:t>
      </w:r>
      <w:r/>
    </w:p>
    <w:p>
      <w:pPr>
        <w:contextualSpacing/>
        <w:ind w:firstLine="709"/>
        <w:jc w:val="both"/>
        <w:rPr>
          <w:color w:val="000000" w:themeColor="text1"/>
          <w:sz w:val="24"/>
        </w:rPr>
      </w:pPr>
      <w:r>
        <w:rPr>
          <w:sz w:val="24"/>
        </w:rPr>
        <w:t xml:space="preserve">Соответствие товаров (работ, услуг) указанным требованиям должно быть обязательно подтверждено </w:t>
      </w:r>
      <w:r>
        <w:rPr>
          <w:color w:val="000000" w:themeColor="text1"/>
          <w:sz w:val="24"/>
        </w:rPr>
        <w:t xml:space="preserve">(</w:t>
      </w:r>
      <w:hyperlink r:id="rId14" w:tooltip="Федеральный закон от 27.12.2002 N 184-ФЗ (ред. от 25.12.2023) &quot;О техническом регулировании&quot; {КонсультантПлюс}" w:history="1">
        <w:r>
          <w:rPr>
            <w:color w:val="000000" w:themeColor="text1"/>
            <w:sz w:val="24"/>
          </w:rPr>
          <w:t xml:space="preserve">ст. 2</w:t>
        </w:r>
      </w:hyperlink>
      <w:r>
        <w:rPr>
          <w:color w:val="000000" w:themeColor="text1"/>
          <w:sz w:val="24"/>
        </w:rPr>
        <w:t xml:space="preserve">, </w:t>
      </w:r>
      <w:hyperlink r:id="rId15" w:tooltip="Федеральный закон от 27.12.2002 N 184-ФЗ (ред. от 25.12.2023) &quot;О техническом регулировании&quot; {КонсультантПлюс}" w:history="1">
        <w:r>
          <w:rPr>
            <w:color w:val="000000" w:themeColor="text1"/>
            <w:sz w:val="24"/>
          </w:rPr>
          <w:t xml:space="preserve">6</w:t>
        </w:r>
      </w:hyperlink>
      <w:r>
        <w:rPr>
          <w:color w:val="000000" w:themeColor="text1"/>
          <w:sz w:val="24"/>
        </w:rPr>
        <w:t xml:space="preserve"> Федерального</w:t>
      </w:r>
      <w:r>
        <w:rPr>
          <w:sz w:val="24"/>
        </w:rPr>
        <w:t xml:space="preserve"> закона от 27 декабря 2002 года № 184-ФЗ </w:t>
      </w:r>
      <w:r>
        <w:rPr>
          <w:sz w:val="24"/>
        </w:rPr>
        <w:br/>
        <w:t xml:space="preserve">«О</w:t>
      </w:r>
      <w:r>
        <w:rPr>
          <w:sz w:val="24"/>
        </w:rPr>
        <w:t xml:space="preserve"> </w:t>
      </w:r>
      <w:r>
        <w:rPr>
          <w:sz w:val="24"/>
        </w:rPr>
        <w:t xml:space="preserve">техническом</w:t>
      </w:r>
      <w:r>
        <w:rPr>
          <w:sz w:val="24"/>
        </w:rPr>
        <w:t xml:space="preserve"> </w:t>
      </w:r>
      <w:r>
        <w:rPr>
          <w:sz w:val="24"/>
        </w:rPr>
        <w:t xml:space="preserve">регулировании»).</w:t>
      </w:r>
      <w:r>
        <w:rPr>
          <w:sz w:val="24"/>
        </w:rPr>
        <w:t xml:space="preserve"> </w:t>
      </w:r>
      <w:r>
        <w:rPr>
          <w:sz w:val="24"/>
        </w:rPr>
        <w:t xml:space="preserve">Соответствие товаров (работ, услуг) обязательным требованиям технических регламентов РФ, Таможенного союза, Евр</w:t>
      </w:r>
      <w:r>
        <w:rPr>
          <w:sz w:val="24"/>
        </w:rPr>
        <w:t xml:space="preserve">азийского экономического союза могут подтверждать сертификаты соответствия или декларации о соответствии</w:t>
      </w:r>
      <w:r>
        <w:rPr>
          <w:color w:val="000000" w:themeColor="text1"/>
          <w:sz w:val="24"/>
        </w:rPr>
        <w:t xml:space="preserve"> (</w:t>
      </w:r>
      <w:hyperlink r:id="rId16" w:tooltip="Федеральный закон от 27.12.2002 N 184-ФЗ (ред. от 25.12.2023) &quot;О техническом регулировании&quot; {КонсультантПлюс}" w:history="1">
        <w:r>
          <w:rPr>
            <w:color w:val="000000" w:themeColor="text1"/>
            <w:sz w:val="24"/>
          </w:rPr>
          <w:t xml:space="preserve">п. 3 ст. 20</w:t>
        </w:r>
      </w:hyperlink>
      <w:r>
        <w:rPr>
          <w:color w:val="000000" w:themeColor="text1"/>
          <w:sz w:val="24"/>
        </w:rPr>
        <w:t xml:space="preserve">, </w:t>
      </w:r>
      <w:hyperlink r:id="rId17" w:tooltip="Федеральный закон от 27.12.2002 N 184-ФЗ (ред. от 25.12.2023) &quot;О техническом регулировании&quot; {КонсультантПлюс}" w:history="1">
        <w:r>
          <w:rPr>
            <w:color w:val="000000" w:themeColor="text1"/>
            <w:sz w:val="24"/>
          </w:rPr>
          <w:t xml:space="preserve">п. 1</w:t>
        </w:r>
      </w:hyperlink>
      <w:r>
        <w:rPr>
          <w:color w:val="000000" w:themeColor="text1"/>
          <w:sz w:val="24"/>
        </w:rPr>
        <w:t xml:space="preserve">, </w:t>
      </w:r>
      <w:hyperlink r:id="rId18" w:tooltip="Федеральный закон от 27.12.2002 N 184-ФЗ (ред. от 25.12.2023) &quot;О техническом регулировании&quot; {КонсультантПлюс}" w:history="1">
        <w:r>
          <w:rPr>
            <w:color w:val="000000" w:themeColor="text1"/>
            <w:sz w:val="24"/>
          </w:rPr>
          <w:t xml:space="preserve">3 ст. 23</w:t>
        </w:r>
      </w:hyperlink>
      <w:r>
        <w:rPr>
          <w:color w:val="000000" w:themeColor="text1"/>
          <w:sz w:val="24"/>
        </w:rPr>
        <w:t xml:space="preserve"> Закона № 184-ФЗ). Декл</w:t>
      </w:r>
      <w:r>
        <w:rPr>
          <w:color w:val="000000" w:themeColor="text1"/>
          <w:sz w:val="24"/>
        </w:rPr>
        <w:t xml:space="preserve">арация о соответствии и сертификат соответствия имеют равную юридическую силу </w:t>
      </w:r>
      <w:r>
        <w:rPr>
          <w:color w:val="000000" w:themeColor="text1"/>
          <w:sz w:val="24"/>
        </w:rPr>
        <w:t xml:space="preserve">и действуют на всей территории Российской Федерации в отношении каждой единицы продукции,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выпускаемой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обращение. </w:t>
      </w:r>
      <w:r/>
    </w:p>
    <w:p>
      <w:pPr>
        <w:contextualSpacing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Согласно </w:t>
      </w:r>
      <w:hyperlink r:id="rId19" w:tooltip="Федеральный закон от 27.12.2002 N 184-ФЗ (ред. от 25.12.2023) &quot;О техническом регулировании&quot; {КонсультантПлюс}" w:history="1">
        <w:r>
          <w:rPr>
            <w:color w:val="000000" w:themeColor="text1"/>
            <w:sz w:val="24"/>
          </w:rPr>
          <w:t xml:space="preserve">ст. </w:t>
        </w:r>
      </w:hyperlink>
      <w:r/>
      <w:hyperlink r:id="rId20" w:tooltip="Федеральный закон от 27.12.2002 N 184-ФЗ (ред. от 25.12.2023) &quot;О техническом регулировании&quot; {КонсультантПлюс}" w:history="1">
        <w:r>
          <w:rPr>
            <w:color w:val="000000" w:themeColor="text1"/>
            <w:sz w:val="24"/>
          </w:rPr>
          <w:t xml:space="preserve">24</w:t>
        </w:r>
      </w:hyperlink>
      <w:r>
        <w:rPr>
          <w:color w:val="000000" w:themeColor="text1"/>
          <w:sz w:val="24"/>
        </w:rPr>
        <w:t xml:space="preserve"> Федерального</w:t>
      </w:r>
      <w:r>
        <w:rPr>
          <w:sz w:val="24"/>
        </w:rPr>
        <w:t xml:space="preserve"> закона № 184-ФЗ</w:t>
      </w:r>
      <w:r>
        <w:rPr>
          <w:color w:val="000000" w:themeColor="text1"/>
          <w:sz w:val="24"/>
        </w:rPr>
        <w:t xml:space="preserve"> форма декларации о соответствии и состав сведений, содержащихся в деклара</w:t>
      </w:r>
      <w:r>
        <w:rPr>
          <w:color w:val="000000" w:themeColor="text1"/>
          <w:sz w:val="24"/>
        </w:rPr>
        <w:t xml:space="preserve">циях о соответствии,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власти.</w:t>
      </w:r>
      <w:r/>
    </w:p>
    <w:p>
      <w:pPr>
        <w:contextualSpacing/>
        <w:ind w:firstLine="709"/>
        <w:jc w:val="both"/>
        <w:rPr>
          <w:sz w:val="24"/>
        </w:rPr>
      </w:pPr>
      <w:r>
        <w:rPr>
          <w:sz w:val="24"/>
        </w:rPr>
        <w:t xml:space="preserve">Информация о выданных с</w:t>
      </w:r>
      <w:r>
        <w:rPr>
          <w:sz w:val="24"/>
        </w:rPr>
        <w:t xml:space="preserve">ертификатах соответствия и зарегистрированных декларациях о соответствии заносится, в частности, в соответствующие реестры, которые ведет</w:t>
      </w:r>
      <w:r>
        <w:rPr>
          <w:sz w:val="24"/>
        </w:rPr>
        <w:t xml:space="preserve"> </w:t>
      </w:r>
      <w:r>
        <w:rPr>
          <w:rFonts w:eastAsia="Arial"/>
          <w:color w:val="000000" w:themeColor="text1"/>
          <w:sz w:val="24"/>
          <w:highlight w:val="white"/>
        </w:rPr>
        <w:t xml:space="preserve">Федеральная служба по аккредитации (</w:t>
      </w:r>
      <w:r>
        <w:rPr>
          <w:rFonts w:eastAsia="Arial"/>
          <w:color w:val="000000" w:themeColor="text1"/>
          <w:sz w:val="24"/>
          <w:highlight w:val="white"/>
        </w:rPr>
        <w:t xml:space="preserve">Росаккредитация</w:t>
      </w:r>
      <w:r>
        <w:rPr>
          <w:rFonts w:eastAsia="Arial"/>
          <w:color w:val="000000" w:themeColor="text1"/>
          <w:sz w:val="24"/>
          <w:highlight w:val="white"/>
        </w:rPr>
        <w:t xml:space="preserve">)</w:t>
      </w:r>
      <w:r>
        <w:rPr>
          <w:color w:val="000000" w:themeColor="text1"/>
          <w:sz w:val="24"/>
        </w:rPr>
        <w:t xml:space="preserve">. </w:t>
      </w:r>
      <w:r>
        <w:rPr>
          <w:sz w:val="24"/>
        </w:rPr>
        <w:t xml:space="preserve">На официальном сайте данного органа власти можно проверить дейст</w:t>
      </w:r>
      <w:r>
        <w:rPr>
          <w:sz w:val="24"/>
        </w:rPr>
        <w:t xml:space="preserve">вительность конкретного сертификата или декларации о соответствии. При этом в отношении серийно выпускаемой продукции, на которую выдан сертификат соответствия, должна проводиться периодическая оценка в установленном порядке (инспекционный контроль). Сведе</w:t>
      </w:r>
      <w:r>
        <w:rPr>
          <w:sz w:val="24"/>
        </w:rPr>
        <w:t xml:space="preserve">ния о прохождении инспекционного контроля подлежат включению в соответствующий реестр </w:t>
      </w:r>
      <w:r>
        <w:rPr>
          <w:color w:val="000000" w:themeColor="text1"/>
          <w:sz w:val="24"/>
        </w:rPr>
        <w:t xml:space="preserve">(</w:t>
      </w:r>
      <w:hyperlink r:id="rId21" w:tooltip="Федеральный закон от 27.12.2002 N 184-ФЗ (ред. от 25.12.2023) &quot;О техническом регулировании&quot; {КонсультантПлюс}" w:history="1">
        <w:r>
          <w:rPr>
            <w:color w:val="000000" w:themeColor="text1"/>
            <w:sz w:val="24"/>
          </w:rPr>
          <w:t xml:space="preserve">п. 2.1 ст. 25</w:t>
        </w:r>
      </w:hyperlink>
      <w:r>
        <w:rPr>
          <w:color w:val="000000" w:themeColor="text1"/>
          <w:sz w:val="24"/>
        </w:rPr>
        <w:t xml:space="preserve"> Закона № 184-ФЗ)</w:t>
      </w:r>
      <w:r>
        <w:rPr>
          <w:sz w:val="24"/>
        </w:rPr>
        <w:t xml:space="preserve">.</w:t>
      </w:r>
      <w:r/>
    </w:p>
    <w:p>
      <w:pPr>
        <w:contextualSpacing/>
        <w:ind w:firstLine="709"/>
        <w:jc w:val="both"/>
        <w:rPr>
          <w:color w:val="000000" w:themeColor="text1"/>
          <w:sz w:val="24"/>
        </w:rPr>
      </w:pPr>
      <w:r>
        <w:rPr>
          <w:sz w:val="24"/>
        </w:rPr>
        <w:t xml:space="preserve">По инициативе изготовителя (исполнителя) товары (работы, услуги), в частности выпускаемые в обращение на территории РФ и не подлежащие обязательной сертификации, могут быть сертифицированы в</w:t>
      </w:r>
      <w:r>
        <w:rPr>
          <w:sz w:val="24"/>
        </w:rPr>
        <w:t xml:space="preserve"> добровольном порядке. В форме добровольной сертификации, по общему правилу, осуществляется также подтверждение соответствия производства органической</w:t>
      </w:r>
      <w:r>
        <w:rPr>
          <w:sz w:val="24"/>
        </w:rPr>
        <w:t xml:space="preserve"> </w:t>
      </w:r>
      <w:r>
        <w:rPr>
          <w:sz w:val="24"/>
        </w:rPr>
        <w:t xml:space="preserve">продукции</w:t>
      </w:r>
      <w:r>
        <w:rPr>
          <w:color w:val="000000" w:themeColor="text1"/>
          <w:sz w:val="24"/>
        </w:rPr>
        <w:t xml:space="preserve">.</w:t>
      </w:r>
      <w:r/>
    </w:p>
    <w:p>
      <w:pPr>
        <w:contextualSpacing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Обязательное подтверждение соответствия качества продукции осуществляется </w:t>
      </w:r>
      <w:r>
        <w:rPr>
          <w:color w:val="000000" w:themeColor="text1"/>
          <w:sz w:val="24"/>
        </w:rPr>
        <w:br/>
        <w:t xml:space="preserve">в соответствии с п</w:t>
      </w:r>
      <w:r>
        <w:rPr>
          <w:color w:val="000000" w:themeColor="text1"/>
          <w:sz w:val="24"/>
        </w:rPr>
        <w:t xml:space="preserve">орядком, утвержденным Постановлением Правительства Российской Федерации от 24 июля 2021 года № 1265 «Об утверждении Правил обязательного подтверждения соответствия продукции, указанной в абзаце первом пункта 3 статьи 46 Федерального закона </w:t>
      </w:r>
      <w:r>
        <w:rPr>
          <w:color w:val="000000" w:themeColor="text1"/>
          <w:sz w:val="24"/>
        </w:rPr>
        <w:br/>
        <w:t xml:space="preserve">«О техническом </w:t>
      </w:r>
      <w:r>
        <w:rPr>
          <w:color w:val="000000" w:themeColor="text1"/>
          <w:sz w:val="24"/>
        </w:rPr>
        <w:t xml:space="preserve">регулировании» (далее – Постановление № 1265).</w:t>
      </w:r>
      <w:r/>
    </w:p>
    <w:p>
      <w:pPr>
        <w:contextualSpacing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Согласно п. 18 Постановления № 1265 для проведения сертификации продукции заявитель на проведение сертификации подает заявку в виде электронного документа </w:t>
      </w:r>
      <w:r>
        <w:rPr>
          <w:color w:val="000000" w:themeColor="text1"/>
          <w:sz w:val="24"/>
        </w:rPr>
        <w:br/>
        <w:t xml:space="preserve">с использованием информационно-телекоммуникационной </w:t>
      </w:r>
      <w:r>
        <w:rPr>
          <w:color w:val="000000" w:themeColor="text1"/>
          <w:sz w:val="24"/>
        </w:rPr>
        <w:t xml:space="preserve">сети «Интернет» или на бумажном носителе непосредственно или заказным почтовым отправлением с описью вложения </w:t>
      </w:r>
      <w:r>
        <w:rPr>
          <w:color w:val="000000" w:themeColor="text1"/>
          <w:sz w:val="24"/>
        </w:rPr>
        <w:br/>
        <w:t xml:space="preserve">и уведомлением о вручении в орган по сертификации, область аккредитации которого распространяется на продукцию, которую заявитель на проведение с</w:t>
      </w:r>
      <w:r>
        <w:rPr>
          <w:color w:val="000000" w:themeColor="text1"/>
          <w:sz w:val="24"/>
        </w:rPr>
        <w:t xml:space="preserve">ертификации продукции намеревается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сертифицировать.</w:t>
      </w:r>
      <w:r/>
    </w:p>
    <w:p>
      <w:pPr>
        <w:contextualSpacing/>
        <w:ind w:firstLine="709"/>
        <w:jc w:val="both"/>
      </w:pPr>
      <w:r>
        <w:rPr>
          <w:color w:val="000000" w:themeColor="text1"/>
          <w:sz w:val="24"/>
        </w:rPr>
        <w:t xml:space="preserve">Содержание заявки и состав прилагаемых документов определен пунктами 21, 22 Правил. Отдельно установлен перечень прилагаемых к заявлению документов для продукции серийного производства, для партии продук</w:t>
      </w:r>
      <w:r>
        <w:rPr>
          <w:color w:val="000000" w:themeColor="text1"/>
          <w:sz w:val="24"/>
        </w:rPr>
        <w:t xml:space="preserve">ции (единичного изделия).</w:t>
      </w:r>
      <w:r/>
    </w:p>
    <w:p>
      <w:pPr>
        <w:pStyle w:val="877"/>
        <w:contextualSpacing/>
        <w:ind w:firstLine="708"/>
        <w:jc w:val="both"/>
        <w:spacing w:before="260"/>
        <w:tabs>
          <w:tab w:val="left" w:pos="3866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справочника типовых оценок и стандартных величин проведен расчет затраты рабочего времени хозяйствующего субъекта на предоставление пакета документов, необходимого для сертификации продукции.</w:t>
      </w:r>
      <w:r/>
    </w:p>
    <w:p>
      <w:pPr>
        <w:pStyle w:val="877"/>
        <w:spacing w:before="260"/>
        <w:tabs>
          <w:tab w:val="left" w:pos="3866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Таблица 1. Расчет затрат н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предоставление пакета документов</w:t>
      </w:r>
      <w:r/>
    </w:p>
    <w:tbl>
      <w:tblPr>
        <w:tblStyle w:val="865"/>
        <w:tblW w:w="0" w:type="auto"/>
        <w:tblLayout w:type="fixed"/>
        <w:tblLook w:val="04A0" w:firstRow="1" w:lastRow="0" w:firstColumn="1" w:lastColumn="0" w:noHBand="0" w:noVBand="1"/>
      </w:tblPr>
      <w:tblGrid>
        <w:gridCol w:w="7653"/>
        <w:gridCol w:w="2268"/>
      </w:tblGrid>
      <w:tr>
        <w:trPr>
          <w:trHeight w:val="9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Типовые действия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Стандартные затраты рабочего времени,</w:t>
            </w:r>
            <w:r/>
          </w:p>
          <w:p>
            <w:pPr>
              <w:jc w:val="center"/>
              <w:rPr>
                <w:rFonts w:ascii="undefined" w:hAnsi="undefined" w:cs="undefined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(человеко-часы)</w:t>
            </w:r>
            <w:r/>
          </w:p>
        </w:tc>
      </w:tr>
      <w:tr>
        <w:trPr>
          <w:trHeight w:val="5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color w:val="000000"/>
                <w:sz w:val="22"/>
                <w:szCs w:val="22"/>
              </w:rPr>
              <w:t xml:space="preserve">Подготовка документов, прилагаемых к заявлению на проведение сертификации продукции:</w:t>
            </w:r>
            <w:r/>
          </w:p>
          <w:p>
            <w:pPr>
              <w:pStyle w:val="700"/>
              <w:numPr>
                <w:ilvl w:val="0"/>
                <w:numId w:val="3"/>
              </w:num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заявка на сертификацию (5 листов);</w:t>
            </w:r>
            <w:r/>
          </w:p>
          <w:p>
            <w:pPr>
              <w:pStyle w:val="700"/>
              <w:numPr>
                <w:ilvl w:val="0"/>
                <w:numId w:val="2"/>
              </w:num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копия технической документации (30 листов);</w:t>
            </w:r>
            <w:r/>
          </w:p>
          <w:p>
            <w:pPr>
              <w:pStyle w:val="700"/>
              <w:numPr>
                <w:ilvl w:val="0"/>
                <w:numId w:val="2"/>
              </w:num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копия документа, в соответствии с которым изготовлена продукция </w:t>
            </w:r>
            <w:r>
              <w:rPr>
                <w:rFonts w:eastAsia="Calibri"/>
                <w:color w:val="000000"/>
                <w:sz w:val="22"/>
                <w:szCs w:val="22"/>
              </w:rPr>
              <w:br/>
              <w:t xml:space="preserve">(15 листов);</w:t>
            </w:r>
            <w:r/>
          </w:p>
          <w:p>
            <w:pPr>
              <w:pStyle w:val="700"/>
              <w:numPr>
                <w:ilvl w:val="0"/>
                <w:numId w:val="2"/>
              </w:num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копия контракта (договора поставки) (10 листов);</w:t>
            </w:r>
            <w:r/>
          </w:p>
          <w:p>
            <w:pPr>
              <w:pStyle w:val="700"/>
              <w:numPr>
                <w:ilvl w:val="0"/>
                <w:numId w:val="2"/>
              </w:num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сведения об ОРГН юридического лица (8 листов);</w:t>
            </w:r>
            <w:r/>
          </w:p>
          <w:p>
            <w:pPr>
              <w:pStyle w:val="700"/>
              <w:numPr>
                <w:ilvl w:val="0"/>
                <w:numId w:val="2"/>
              </w:numPr>
              <w:rPr>
                <w:rFonts w:ascii="undefined" w:hAnsi="undefined" w:cs="undefined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иные документы (5 листов)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2,00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color w:val="000000"/>
                <w:sz w:val="22"/>
                <w:szCs w:val="22"/>
              </w:rPr>
              <w:t xml:space="preserve">Выбор центра сертификации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0,50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color w:val="000000"/>
                <w:sz w:val="22"/>
                <w:szCs w:val="22"/>
              </w:rPr>
              <w:t xml:space="preserve">Заключение соглашения о проведении сертификации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1,00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3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color w:val="000000"/>
                <w:sz w:val="22"/>
                <w:szCs w:val="22"/>
              </w:rPr>
              <w:t xml:space="preserve">Участие в отборе образцов продукции для проведения испытаний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2,00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Подача пакета документов в электронном виде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0,50</w:t>
            </w:r>
            <w:r/>
          </w:p>
        </w:tc>
      </w:tr>
    </w:tbl>
    <w:p>
      <w:pPr>
        <w:pStyle w:val="877"/>
        <w:tabs>
          <w:tab w:val="left" w:pos="0" w:leader="none"/>
        </w:tabs>
      </w:pPr>
      <w:r>
        <w:rPr>
          <w:rFonts w:ascii="Times New Roman" w:hAnsi="Times New Roman" w:cs="Times New Roman"/>
        </w:rPr>
        <w:t xml:space="preserve"> </w:t>
      </w:r>
      <w:r/>
    </w:p>
    <w:p>
      <w:pPr>
        <w:pStyle w:val="87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Общая стоимость трудозатрат одного хозяйствующего субъекта на выполнение требований федерального законодательства по сертифи</w:t>
      </w:r>
      <w:r>
        <w:rPr>
          <w:rFonts w:ascii="Times New Roman" w:hAnsi="Times New Roman" w:cs="Times New Roman"/>
          <w:sz w:val="24"/>
          <w:szCs w:val="24"/>
        </w:rPr>
        <w:t xml:space="preserve">кации</w:t>
      </w:r>
      <w:r>
        <w:rPr>
          <w:rFonts w:ascii="Times New Roman" w:hAnsi="Times New Roman" w:cs="Times New Roman"/>
          <w:sz w:val="24"/>
          <w:szCs w:val="24"/>
        </w:rPr>
        <w:t xml:space="preserve"> продукции </w:t>
      </w:r>
      <w:r>
        <w:rPr>
          <w:rFonts w:ascii="Times New Roman" w:hAnsi="Times New Roman" w:cs="Times New Roman"/>
          <w:sz w:val="24"/>
          <w:szCs w:val="24"/>
        </w:rPr>
        <w:t xml:space="preserve">2,95 тыс. руб.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(6 чел./часов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* 377,63 руб. * 1,302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pStyle w:val="87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" w:name="_GoBack"/>
      <w:r/>
      <w:bookmarkEnd w:id="2"/>
      <w:r/>
      <w:r/>
    </w:p>
    <w:p>
      <w:pPr>
        <w:pStyle w:val="87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Постановлением главы администрации Белгородской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30 ноября 1994 года </w:t>
      </w:r>
      <w:r>
        <w:rPr>
          <w:rFonts w:ascii="Times New Roman" w:hAnsi="Times New Roman" w:cs="Times New Roman"/>
          <w:sz w:val="24"/>
          <w:szCs w:val="24"/>
        </w:rPr>
        <w:br/>
        <w:t xml:space="preserve">№ 615 </w:t>
      </w:r>
      <w:r>
        <w:rPr>
          <w:rFonts w:ascii="Times New Roman" w:hAnsi="Times New Roman" w:cs="Times New Roman"/>
          <w:sz w:val="24"/>
          <w:szCs w:val="24"/>
        </w:rPr>
        <w:t xml:space="preserve">не предусмотрена подача документов в электронном виде, в связи с чем заявитель понесет дополнительные расходы на печать и предоставление документов.</w:t>
      </w:r>
      <w:r/>
    </w:p>
    <w:p>
      <w:pPr>
        <w:pStyle w:val="877"/>
        <w:jc w:val="both"/>
        <w:tabs>
          <w:tab w:val="left" w:pos="0" w:leader="none"/>
        </w:tabs>
      </w:pPr>
      <w:r/>
      <w:r/>
    </w:p>
    <w:p>
      <w:pPr>
        <w:pStyle w:val="87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Таблица 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Расчет объема излишних затрат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предоставлении документов на бумажном носителе</w:t>
      </w:r>
      <w:r/>
    </w:p>
    <w:tbl>
      <w:tblPr>
        <w:tblStyle w:val="865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7795"/>
        <w:gridCol w:w="1701"/>
      </w:tblGrid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</w:t>
            </w:r>
            <w:r/>
          </w:p>
        </w:tc>
        <w:tc>
          <w:tcPr>
            <w:tcW w:w="7795" w:type="dxa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Показатель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7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Значение</w:t>
            </w:r>
            <w:r/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/>
          </w:p>
        </w:tc>
        <w:tc>
          <w:tcPr>
            <w:tcW w:w="7795" w:type="dxa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заявки и </w:t>
            </w:r>
            <w:r>
              <w:rPr>
                <w:rFonts w:ascii="Times New Roman" w:hAnsi="Times New Roman" w:cs="Times New Roman"/>
              </w:rPr>
              <w:t xml:space="preserve">прилагающихся</w:t>
            </w:r>
            <w:r>
              <w:rPr>
                <w:rFonts w:ascii="Times New Roman" w:hAnsi="Times New Roman" w:cs="Times New Roman"/>
              </w:rPr>
              <w:t xml:space="preserve"> к ней документов, 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7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</w:t>
            </w:r>
            <w:r/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/>
          </w:p>
        </w:tc>
        <w:tc>
          <w:tcPr>
            <w:tcW w:w="7795" w:type="dxa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печати 1 л, руб.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7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/>
          </w:p>
        </w:tc>
        <w:tc>
          <w:tcPr>
            <w:tcW w:w="7795" w:type="dxa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  <w:tab w:val="left" w:pos="192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стоимость поездки для предоставления документов нароч</w:t>
            </w:r>
            <w:r>
              <w:rPr>
                <w:rFonts w:ascii="Times New Roman" w:hAnsi="Times New Roman" w:cs="Times New Roman"/>
              </w:rPr>
              <w:t xml:space="preserve">но, тыс. руб.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7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/>
          </w:p>
        </w:tc>
      </w:tr>
      <w:tr>
        <w:trPr>
          <w:trHeight w:val="253"/>
        </w:trPr>
        <w:tc>
          <w:tcPr>
            <w:gridSpan w:val="2"/>
            <w:tcW w:w="8220" w:type="dxa"/>
            <w:vMerge w:val="restart"/>
            <w:textDirection w:val="lrTb"/>
            <w:noWrap w:val="false"/>
          </w:tcPr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стоимость печати и доставки документов по 1 заявке</w:t>
            </w:r>
            <w:r>
              <w:rPr>
                <w:rFonts w:ascii="Times New Roman" w:hAnsi="Times New Roman" w:cs="Times New Roman"/>
              </w:rPr>
              <w:t xml:space="preserve">, тыс. руб. </w:t>
            </w:r>
            <w:r/>
          </w:p>
          <w:p>
            <w:pPr>
              <w:pStyle w:val="877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(=стр. 1*стр.2+стр.3)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7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1,23</w:t>
            </w:r>
            <w:r/>
          </w:p>
        </w:tc>
      </w:tr>
    </w:tbl>
    <w:p>
      <w:pPr>
        <w:pStyle w:val="87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*Информация представлена исходя из средних потребительских цен (тарифов) на товары и услуги в Белгородской области.</w:t>
      </w:r>
      <w:r/>
    </w:p>
    <w:p>
      <w:pPr>
        <w:pStyle w:val="877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/>
    </w:p>
    <w:p>
      <w:pPr>
        <w:pStyle w:val="87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учетом изложенного объем дополнительных расходов одного заявителя в результате подачи документов на бумажном носителе оценивается в 1,23 тыс. руб.</w:t>
      </w:r>
      <w:r/>
    </w:p>
    <w:p>
      <w:pPr>
        <w:pStyle w:val="87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№ 184-ФЗ «О техническом регулировании»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предусмотрено, что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бязательная сер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тификация осуществляется органом по сертификации, аккредитованным 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hyperlink r:id="rId22" w:tooltip="https://www.consultant.ru/document/cons_doc_LAW_471094/" w:history="1">
        <w:r>
          <w:rPr>
            <w:rStyle w:val="855"/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Российской Федерации об аккредитации в национальной системе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. По данным, внесенным в реестр аккредитованных лиц </w:t>
      </w:r>
      <w:r>
        <w:rPr>
          <w:rFonts w:ascii="Times New Roman" w:hAnsi="Times New Roman" w:cs="Times New Roman"/>
          <w:sz w:val="24"/>
          <w:szCs w:val="24"/>
        </w:rPr>
        <w:t xml:space="preserve">(URL:https://fsa.gov.ru/)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Центрального федерального округа зарегистрировано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94 органа по сертификации товаров (работ, </w:t>
      </w:r>
      <w:r>
        <w:rPr>
          <w:rFonts w:ascii="Times New Roman" w:hAnsi="Times New Roman" w:cs="Times New Roman"/>
          <w:sz w:val="24"/>
          <w:szCs w:val="24"/>
        </w:rPr>
        <w:t xml:space="preserve">услуг)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которые вправе обратиться заявитель.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главы администрации Белгородской области от 30 ноября 1994 года № 615 предусмотрено требование по обращению непосредственно в орган по сертификации Белгородского центра стандартизации, ме</w:t>
      </w:r>
      <w:r>
        <w:rPr>
          <w:rFonts w:ascii="Times New Roman" w:hAnsi="Times New Roman" w:cs="Times New Roman"/>
          <w:sz w:val="24"/>
          <w:szCs w:val="24"/>
        </w:rPr>
        <w:t xml:space="preserve">трологии и сертификации, что нарушает </w:t>
      </w:r>
      <w:r>
        <w:rPr>
          <w:rFonts w:ascii="Times New Roman" w:hAnsi="Times New Roman" w:cs="Times New Roman"/>
          <w:sz w:val="24"/>
          <w:szCs w:val="24"/>
        </w:rPr>
        <w:br/>
        <w:t xml:space="preserve">и ограничивает права производителей товаров (работ, услуг). </w:t>
      </w:r>
      <w:r/>
    </w:p>
    <w:p>
      <w:pPr>
        <w:ind w:firstLine="720"/>
        <w:jc w:val="both"/>
        <w:rPr>
          <w:sz w:val="24"/>
        </w:rPr>
      </w:pPr>
      <w:r>
        <w:rPr>
          <w:rFonts w:eastAsia="Calibri"/>
          <w:b/>
          <w:sz w:val="24"/>
          <w:lang w:eastAsia="en-US"/>
        </w:rPr>
        <w:t xml:space="preserve">2. В результате анализа материалов, предоставленных органом-разработчиком, </w:t>
      </w:r>
      <w:r>
        <w:rPr>
          <w:rFonts w:eastAsia="Calibri"/>
          <w:b/>
          <w:sz w:val="24"/>
          <w:lang w:eastAsia="en-US"/>
        </w:rPr>
        <w:br/>
        <w:t xml:space="preserve">а также предложений, полученных по итогам публичных обсуждений</w:t>
      </w:r>
      <w:r>
        <w:rPr>
          <w:rFonts w:ascii="Calibri" w:hAnsi="Calibri"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министерство эк</w:t>
      </w:r>
      <w:r>
        <w:rPr>
          <w:rFonts w:eastAsia="Calibri"/>
          <w:sz w:val="24"/>
          <w:lang w:eastAsia="en-US"/>
        </w:rPr>
        <w:t xml:space="preserve">ономического развития и промышленности области пришло к выводу, что </w:t>
      </w:r>
      <w:r>
        <w:rPr>
          <w:rFonts w:ascii="TimesNewRoman" w:hAnsi="TimesNewRoman" w:eastAsia="TimesNewRoman" w:cs="TimesNewRoman"/>
          <w:sz w:val="24"/>
        </w:rPr>
        <w:t xml:space="preserve">постановление главы администрации Белгородской области от 30 ноября 1994 года № 615 «О сертификации товаров (работ, услуг), выпускаемых (выполняемых) мелкими товаропроизводителями»</w:t>
      </w:r>
      <w:r>
        <w:rPr>
          <w:rFonts w:eastAsia="Calibri"/>
          <w:sz w:val="24"/>
        </w:rPr>
        <w:t xml:space="preserve"> утратил</w:t>
      </w:r>
      <w:r>
        <w:rPr>
          <w:rFonts w:eastAsia="Calibri"/>
          <w:sz w:val="24"/>
        </w:rPr>
        <w:t xml:space="preserve">о актуальность и не соответствует действующему федеральному законодательству</w:t>
      </w:r>
      <w:r>
        <w:rPr>
          <w:sz w:val="24"/>
        </w:rPr>
        <w:t xml:space="preserve">.</w:t>
      </w:r>
      <w:r/>
    </w:p>
    <w:p>
      <w:pPr>
        <w:ind w:firstLine="720"/>
        <w:jc w:val="both"/>
        <w:rPr>
          <w:rFonts w:eastAsia="Calibri"/>
          <w:sz w:val="24"/>
        </w:rPr>
      </w:pPr>
      <w:r>
        <w:rPr>
          <w:rFonts w:eastAsia="Calibri"/>
          <w:sz w:val="24"/>
          <w:lang w:eastAsia="en-US"/>
        </w:rPr>
        <w:t xml:space="preserve">Учитывая вышеизложенное, по итогам проведенной экспертизы, министерство экономического развития и промышленности области считает целесообразным </w:t>
      </w:r>
      <w:r>
        <w:rPr>
          <w:rFonts w:eastAsia="Calibri"/>
          <w:sz w:val="24"/>
          <w:lang w:eastAsia="en-US"/>
        </w:rPr>
        <w:t xml:space="preserve">постановление </w:t>
      </w:r>
      <w:r>
        <w:rPr>
          <w:rFonts w:ascii="TimesNewRoman" w:hAnsi="TimesNewRoman" w:eastAsia="TimesNewRoman" w:cs="TimesNewRoman"/>
          <w:sz w:val="24"/>
        </w:rPr>
        <w:t xml:space="preserve">главы администрации Белгородской области от 30 ноября 1994 года № 615</w:t>
      </w:r>
      <w:r>
        <w:rPr>
          <w:sz w:val="24"/>
        </w:rPr>
        <w:t xml:space="preserve"> </w:t>
      </w:r>
      <w:r>
        <w:rPr>
          <w:rFonts w:eastAsia="Calibri"/>
          <w:sz w:val="24"/>
        </w:rPr>
        <w:t xml:space="preserve">признать утратившим силу.</w:t>
      </w:r>
      <w:r/>
      <w:r>
        <w:rPr>
          <w:color w:val="000000" w:themeColor="text1"/>
          <w:sz w:val="26"/>
          <w:szCs w:val="26"/>
        </w:rPr>
      </w:r>
      <w:r/>
      <w:r>
        <w:rPr>
          <w:rFonts w:eastAsia="Calibri"/>
          <w:sz w:val="24"/>
        </w:rPr>
      </w:r>
      <w:r>
        <w:rPr>
          <w:sz w:val="28"/>
          <w:szCs w:val="28"/>
        </w:rPr>
      </w:r>
      <w:r/>
      <w:r>
        <w:rPr>
          <w:rFonts w:eastAsia="Calibri"/>
          <w:sz w:val="24"/>
        </w:rPr>
      </w:r>
      <w:r>
        <w:rPr>
          <w:color w:val="000000" w:themeColor="text1"/>
          <w:sz w:val="20"/>
          <w:szCs w:val="20"/>
          <w:lang w:val="en-US"/>
        </w:rPr>
      </w:r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709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B0606020202030204"/>
  </w:font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02158951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5">
    <w:name w:val="Heading 1"/>
    <w:basedOn w:val="664"/>
    <w:next w:val="664"/>
    <w:link w:val="866"/>
    <w:qFormat/>
    <w:pPr>
      <w:ind w:left="1094"/>
      <w:keepNext/>
      <w:spacing w:line="302" w:lineRule="exact"/>
      <w:shd w:val="clear" w:color="auto" w:fill="ffffff"/>
      <w:widowControl w:val="off"/>
      <w:outlineLvl w:val="0"/>
    </w:pPr>
    <w:rPr>
      <w:b/>
      <w:bCs/>
      <w:color w:val="000000"/>
      <w:spacing w:val="-4"/>
      <w:szCs w:val="26"/>
    </w:rPr>
  </w:style>
  <w:style w:type="paragraph" w:styleId="666">
    <w:name w:val="Heading 2"/>
    <w:basedOn w:val="664"/>
    <w:next w:val="664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70">
    <w:name w:val="Heading 6"/>
    <w:basedOn w:val="664"/>
    <w:next w:val="664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next w:val="664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next w:val="664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78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Title Char"/>
    <w:basedOn w:val="674"/>
    <w:uiPriority w:val="10"/>
    <w:rPr>
      <w:sz w:val="48"/>
      <w:szCs w:val="48"/>
    </w:rPr>
  </w:style>
  <w:style w:type="character" w:styleId="686" w:customStyle="1">
    <w:name w:val="Subtitle Char"/>
    <w:basedOn w:val="674"/>
    <w:uiPriority w:val="11"/>
    <w:rPr>
      <w:sz w:val="24"/>
      <w:szCs w:val="24"/>
    </w:rPr>
  </w:style>
  <w:style w:type="character" w:styleId="687" w:customStyle="1">
    <w:name w:val="Quote Char"/>
    <w:uiPriority w:val="29"/>
    <w:rPr>
      <w:i/>
    </w:rPr>
  </w:style>
  <w:style w:type="character" w:styleId="688" w:customStyle="1">
    <w:name w:val="Intense Quote Char"/>
    <w:uiPriority w:val="30"/>
    <w:rPr>
      <w:i/>
    </w:rPr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664"/>
    <w:uiPriority w:val="34"/>
    <w:qFormat/>
    <w:pPr>
      <w:contextualSpacing/>
      <w:ind w:left="720"/>
    </w:pPr>
  </w:style>
  <w:style w:type="paragraph" w:styleId="701">
    <w:name w:val="Title"/>
    <w:basedOn w:val="664"/>
    <w:next w:val="664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"/>
    <w:basedOn w:val="674"/>
    <w:link w:val="701"/>
    <w:uiPriority w:val="10"/>
    <w:rPr>
      <w:sz w:val="48"/>
      <w:szCs w:val="48"/>
    </w:rPr>
  </w:style>
  <w:style w:type="paragraph" w:styleId="703">
    <w:name w:val="Subtitle"/>
    <w:basedOn w:val="664"/>
    <w:next w:val="664"/>
    <w:link w:val="704"/>
    <w:uiPriority w:val="11"/>
    <w:qFormat/>
    <w:pPr>
      <w:spacing w:before="200" w:after="200"/>
    </w:pPr>
    <w:rPr>
      <w:sz w:val="24"/>
    </w:rPr>
  </w:style>
  <w:style w:type="character" w:styleId="704" w:customStyle="1">
    <w:name w:val="Подзаголовок Знак"/>
    <w:basedOn w:val="674"/>
    <w:link w:val="703"/>
    <w:uiPriority w:val="11"/>
    <w:rPr>
      <w:sz w:val="24"/>
      <w:szCs w:val="24"/>
    </w:rPr>
  </w:style>
  <w:style w:type="paragraph" w:styleId="705">
    <w:name w:val="Quote"/>
    <w:basedOn w:val="664"/>
    <w:next w:val="664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4"/>
    <w:next w:val="664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74"/>
    <w:uiPriority w:val="99"/>
  </w:style>
  <w:style w:type="character" w:styleId="710" w:customStyle="1">
    <w:name w:val="Footer Char"/>
    <w:basedOn w:val="674"/>
    <w:uiPriority w:val="99"/>
  </w:style>
  <w:style w:type="paragraph" w:styleId="711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2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6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6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5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9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3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7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8">
    <w:name w:val="footnote text"/>
    <w:basedOn w:val="664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74"/>
    <w:uiPriority w:val="99"/>
    <w:unhideWhenUsed/>
    <w:rPr>
      <w:vertAlign w:val="superscript"/>
    </w:rPr>
  </w:style>
  <w:style w:type="paragraph" w:styleId="841">
    <w:name w:val="endnote text"/>
    <w:basedOn w:val="664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74"/>
    <w:uiPriority w:val="99"/>
    <w:semiHidden/>
    <w:unhideWhenUsed/>
    <w:rPr>
      <w:vertAlign w:val="superscript"/>
    </w:rPr>
  </w:style>
  <w:style w:type="paragraph" w:styleId="844">
    <w:name w:val="toc 1"/>
    <w:basedOn w:val="664"/>
    <w:next w:val="664"/>
    <w:uiPriority w:val="39"/>
    <w:unhideWhenUsed/>
    <w:pPr>
      <w:spacing w:after="57"/>
    </w:pPr>
  </w:style>
  <w:style w:type="paragraph" w:styleId="845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46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47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48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49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0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1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52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64"/>
    <w:next w:val="664"/>
    <w:uiPriority w:val="99"/>
    <w:unhideWhenUsed/>
  </w:style>
  <w:style w:type="character" w:styleId="855">
    <w:name w:val="Hyperlink"/>
    <w:unhideWhenUsed/>
    <w:rPr>
      <w:color w:val="0000ff"/>
      <w:u w:val="single"/>
    </w:rPr>
  </w:style>
  <w:style w:type="paragraph" w:styleId="856">
    <w:name w:val="Balloon Text"/>
    <w:basedOn w:val="664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674"/>
    <w:link w:val="8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8">
    <w:name w:val="Body Text"/>
    <w:basedOn w:val="664"/>
    <w:link w:val="859"/>
    <w:pPr>
      <w:jc w:val="center"/>
    </w:pPr>
    <w:rPr>
      <w:b/>
      <w:bCs/>
      <w:caps/>
    </w:rPr>
  </w:style>
  <w:style w:type="character" w:styleId="859" w:customStyle="1">
    <w:name w:val="Основной текст Знак"/>
    <w:basedOn w:val="674"/>
    <w:link w:val="858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860">
    <w:name w:val="annotation reference"/>
    <w:basedOn w:val="674"/>
    <w:uiPriority w:val="99"/>
    <w:semiHidden/>
    <w:unhideWhenUsed/>
    <w:rPr>
      <w:sz w:val="16"/>
      <w:szCs w:val="16"/>
    </w:rPr>
  </w:style>
  <w:style w:type="paragraph" w:styleId="861">
    <w:name w:val="annotation text"/>
    <w:basedOn w:val="664"/>
    <w:link w:val="862"/>
    <w:uiPriority w:val="99"/>
    <w:semiHidden/>
    <w:unhideWhenUsed/>
    <w:rPr>
      <w:sz w:val="20"/>
      <w:szCs w:val="20"/>
    </w:rPr>
  </w:style>
  <w:style w:type="character" w:styleId="862" w:customStyle="1">
    <w:name w:val="Текст примечания Знак"/>
    <w:basedOn w:val="674"/>
    <w:link w:val="86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865">
    <w:name w:val="Table Grid"/>
    <w:basedOn w:val="67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6" w:customStyle="1">
    <w:name w:val="Заголовок 1 Знак"/>
    <w:basedOn w:val="674"/>
    <w:link w:val="665"/>
    <w:rPr>
      <w:rFonts w:ascii="Times New Roman" w:hAnsi="Times New Roman" w:eastAsia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867">
    <w:name w:val="Header"/>
    <w:basedOn w:val="664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674"/>
    <w:link w:val="86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9">
    <w:name w:val="Footer"/>
    <w:basedOn w:val="664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674"/>
    <w:link w:val="86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1" w:customStyle="1">
    <w:name w:val="Style5"/>
    <w:basedOn w:val="664"/>
    <w:pPr>
      <w:ind w:hanging="346"/>
      <w:spacing w:line="317" w:lineRule="exact"/>
      <w:widowControl w:val="off"/>
    </w:pPr>
    <w:rPr>
      <w:sz w:val="24"/>
    </w:rPr>
  </w:style>
  <w:style w:type="paragraph" w:styleId="872">
    <w:name w:val="No Spacing"/>
    <w:link w:val="873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Без интервала Знак"/>
    <w:link w:val="872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 w:customStyle="1">
    <w:name w:val="pt-a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 w:customStyle="1">
    <w:name w:val="Основной текст1"/>
    <w:pPr>
      <w:ind w:firstLine="400"/>
      <w:jc w:val="both"/>
      <w:spacing w:after="0" w:line="276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6"/>
      <w:szCs w:val="26"/>
    </w:rPr>
  </w:style>
  <w:style w:type="paragraph" w:styleId="876" w:customStyle="1">
    <w:name w:val="Обычный (веб)1"/>
    <w:basedOn w:val="672"/>
    <w:uiPriority w:val="99"/>
    <w:semiHidden/>
    <w:unhideWhenUsed/>
    <w:pPr>
      <w:keepLines w:val="0"/>
      <w:keepNext w:val="0"/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i w:val="0"/>
      <w:iCs w:val="0"/>
      <w:sz w:val="24"/>
      <w:szCs w:val="24"/>
    </w:rPr>
  </w:style>
  <w:style w:type="paragraph" w:styleId="877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hyperlink" Target="https://login.consultant.ru/link/?req=doc&amp;base=LAW&amp;n=484451&amp;dst=222" TargetMode="External"/><Relationship Id="rId15" Type="http://schemas.openxmlformats.org/officeDocument/2006/relationships/hyperlink" Target="https://login.consultant.ru/link/?req=doc&amp;base=LAW&amp;n=484451&amp;dst=100067" TargetMode="External"/><Relationship Id="rId16" Type="http://schemas.openxmlformats.org/officeDocument/2006/relationships/hyperlink" Target="https://login.consultant.ru/link/?req=doc&amp;base=LAW&amp;n=484451&amp;dst=100251" TargetMode="External"/><Relationship Id="rId17" Type="http://schemas.openxmlformats.org/officeDocument/2006/relationships/hyperlink" Target="https://login.consultant.ru/link/?req=doc&amp;base=LAW&amp;n=484451&amp;dst=100281" TargetMode="External"/><Relationship Id="rId18" Type="http://schemas.openxmlformats.org/officeDocument/2006/relationships/hyperlink" Target="https://login.consultant.ru/link/?req=doc&amp;base=LAW&amp;n=484451&amp;dst=100639" TargetMode="External"/><Relationship Id="rId19" Type="http://schemas.openxmlformats.org/officeDocument/2006/relationships/hyperlink" Target="https://login.consultant.ru/link/?req=doc&amp;base=LAW&amp;n=484451&amp;dst=222" TargetMode="External"/><Relationship Id="rId20" Type="http://schemas.openxmlformats.org/officeDocument/2006/relationships/hyperlink" Target="https://login.consultant.ru/link/?req=doc&amp;base=LAW&amp;n=484451&amp;dst=100067" TargetMode="External"/><Relationship Id="rId21" Type="http://schemas.openxmlformats.org/officeDocument/2006/relationships/hyperlink" Target="https://login.consultant.ru/link/?req=doc&amp;base=LAW&amp;n=484451&amp;dst=304" TargetMode="External"/><Relationship Id="rId22" Type="http://schemas.openxmlformats.org/officeDocument/2006/relationships/hyperlink" Target="https://www.consultant.ru/document/cons_doc_LAW_47109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ADF07AD177344B261F759F980E14F" ma:contentTypeVersion="8" ma:contentTypeDescription="Create a new document." ma:contentTypeScope="" ma:versionID="b17da19ae4c032dc3f8dacb4f0c8b791">
  <xsd:schema xmlns:xsd="http://www.w3.org/2001/XMLSchema" xmlns:xs="http://www.w3.org/2001/XMLSchema" xmlns:p="http://schemas.microsoft.com/office/2006/metadata/properties" xmlns:ns3="67a76d3d-6a60-49d3-aa84-6bf5e8df3f02" targetNamespace="http://schemas.microsoft.com/office/2006/metadata/properties" ma:root="true" ma:fieldsID="923ec4cfa93e629d4342711a59c1eabd" ns3:_="">
    <xsd:import namespace="67a76d3d-6a60-49d3-aa84-6bf5e8df3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6d3d-6a60-49d3-aa84-6bf5e8d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09CF-8014-48BF-86FE-47BE2ACF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76d3d-6a60-49d3-aa84-6bf5e8df3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8AEE0-83E1-467E-A5E5-F7CF66FFE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9065B-236E-405F-876E-E45A4590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417BD-2B50-4D08-A960-12AC92E5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revision>24</cp:revision>
  <dcterms:created xsi:type="dcterms:W3CDTF">2025-05-18T10:46:00Z</dcterms:created>
  <dcterms:modified xsi:type="dcterms:W3CDTF">2025-06-19T09:17:31Z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0x01010087EADF07AD177344B261F759F980E14F</vt:lpwstr>
  </property>
</Properties>
</file>