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spacing w:before="0" w:after="255" w:line="270" w:lineRule="atLeast"/>
        <w:rPr>
          <w:rFonts w:ascii="Times New Roman" w:hAnsi="Times New Roman" w:cs="Times New Roman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I Затраты на соблюдение обязательных требований в части ведения документации поставщиками социальных услуг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Затраты на оформление основной документации поставщиков социальных услуг: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1) устав - 5 чел./часов;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2) положения об отделениях - 4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3) штатное расписание с указанием наименования должностей персонала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и его численности - 3 чел./часа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4) правила, инструкции, методики (правила внутреннего трудового распорядка, правила поведения получателей социальных услуг,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должностные инструкции специали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стов) -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br/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16 чел./часов;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5) документацию на специальное и табельное техническое оснащение (оборудование, аппа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ратуру и приборы) - 3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6) документы, связанные с социальным обслуживанием в учреждении (личные дела получателей социальных услуг) - 5 чел./часов;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7) договор о предоставлении социальных услуг, заключаемого между поставщиком социальных услуг и гражданином или его законным представителем - 2 чел./часа.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Итого: 38 чел./часов.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Состав документации конкретного поставщика социальных услуг может быть уточнен в зависимости от типа организации социального обслуживания, специфики обслуживаемых категорий населения, характера предоставляемых услуг.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Средняя з/п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на территории Белгородской области в 202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4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году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3 677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Стоимость часа работ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- 3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1,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8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1 руб. (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63 677,6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 : 22 д. : 8 час.)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Общая стоимость трудозатрат на соблюдение требования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:                                                   38 чел./часов*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361,81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руб=1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3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74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8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78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9"/>
        <w:spacing w:before="0" w:after="255" w:line="270" w:lineRule="atLeast"/>
        <w:rPr>
          <w:rFonts w:ascii="Times New Roman" w:hAnsi="Times New Roman" w:cs="Times New Roman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II Затраты на соблюдение обязательных требований в части</w:t>
      </w: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 размещения и обновления информации о поставщике социальных услуг на информационных стендах в помещениях поставщиков социальных услуг, в средствах массовой информации, в сети «Интернет», в том числе на официальном сайте организации социального обслуживания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Поставщики социальных услуг обеспечивают открытость и доступность информации: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  - 0,1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б) о структуре и органах управления организации социального обслуживания - 0,5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в) о руководителе, его заместителях, руководителях филиалов организации социаль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ного обслуживания (при наличии)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- 0,1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г) о персональном составе работников (с указанием с их согласия уровня образования, квалификации и опыта работы) - 0,3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д) о материально-техническом обеспечении предоставления социальных услуг - 0,5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е) о перечне предоставляемых социальных услуг по видам социальных услуг и формам социального обслуживания - 0,5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 - 0,3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з) о тарифах на социальные услуги по видам социальных услуг и формам социального обслуживания - 0,1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и) о численности получателей социальных услуг по формам социального обслуживания и видам социальных услуг - 0,2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к) о количестве свободных мест для приема получателей социальных услуг по формам социального обслуживания - 0,1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ических и (или) юридических лиц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- 0,1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м)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 - 0,2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н) о финансово-хозяйственной деятельности (с приложением электронного образа плана финансо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во-хозяйственной деятельности)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- 0,9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о)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электронного образа документов)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- 0,5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п) о наличии предписаний органов, осуществляющих государственный контроль в сфере социального обслуживания, и об отчетах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об исполнении таких предписаний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- 0,6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р) о проведении независимой оценки качества оказания услуг организ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ациями социального обслуживания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- 0,3 чел./часа;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тельством Российской Федерации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- 0,2 чел./часа.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Указанная информация подлежит размещению на официальном сайте поставщика социальных услуг и обновлению в течение 10 рабочих дней со дня ее создания, получения или внесения соответствующих изменений.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Информация размещается на официальном са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йте в текстовой и (или) табличной формах, а также в форме электронного образа копий документов.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Средняя з/п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на территории Белгородской области в 202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4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году -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63 677,6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Стоимость часа работ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-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361,81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 (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63 677,6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 : 22 д. : 8 час.)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Общая стоимость трудозатрат на соблюдение требования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:  5,5 чел./часов*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361,81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руб=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1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 989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,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96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9"/>
        <w:spacing w:before="0" w:after="255" w:line="270" w:lineRule="atLeast"/>
        <w:rPr>
          <w:rFonts w:ascii="Times New Roman" w:hAnsi="Times New Roman" w:cs="Times New Roman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III Затраты на соблюдение обязательных требований в части порядка организации деятельности поставщиков социальных услуг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Расчет минимальных затрат хозяйствующего субъекта на организацию социального обслуживания в помещении общей площадью 100-200 м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1) надлежащий уход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Средняя ежемесячная з/п одного сотрудника младшего медицинского персонала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(санитарки)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25 865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2) безопасные условия проживания и предоставления социальных услуг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Средняя ежемесячная з/п одного сотрудника охранной организации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23 000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3) соблюдение требований и правил пожарной безопасности: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27"/>
        <w:numPr>
          <w:ilvl w:val="0"/>
          <w:numId w:val="1"/>
        </w:num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Ст-ть пожарной сигнализации + системы оповещения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15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00 руб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27"/>
        <w:numPr>
          <w:ilvl w:val="0"/>
          <w:numId w:val="1"/>
        </w:num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Ст-ть пожарного щита в комплекте с инвентарем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1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5 392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4) соблюдение требований государственных санитарно-эпидемиологических правил и нормативов.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При проведении расчетов учитываются вид и особенности оказываемых организацией социальных услуг.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b/>
          <w:bCs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t xml:space="preserve">Итого: min затраты хозяйствующего субъекта на соблюдение требования  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br/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t xml:space="preserve">79 857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9"/>
        <w:spacing w:before="0" w:after="255" w:line="270" w:lineRule="atLeast"/>
        <w:rPr>
          <w:rFonts w:ascii="Times New Roman" w:hAnsi="Times New Roman" w:cs="Times New Roman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 xml:space="preserve">IV Затраты на соблюдение обязательных требований в части организации предоставления социальных услуг поставщиками социальных услуг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Поставщики социальных услуг в стационарной форме должны предоставить помещения для предоставления социально-бытовых, социально-медицинских,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При предоставлении социальных услуг в полустационарной форме или в стационарной форме поставщиками социальных услуг должны быть обеспечены: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           (в том числе для передвижения в креслах-колясках)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 для отдыха в сидячем положении, а также доступное размещение оборудования и носителей информации.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Затраты хозяйствующего субъекта на оборудование помещения для оказания социальных услуг людям с ограниченными возможностями.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255" w:line="270" w:lineRule="atLeast"/>
        <w:rPr>
          <w:rFonts w:ascii="Times New Roman" w:hAnsi="Times New Roman" w:cs="Times New Roman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</w:rPr>
        <w:t xml:space="preserve">Средняя стоимость оборудования: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- пандус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2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6,00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 руб.;                                                                                                                   - подъемник для инвалидов-колясочников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9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8,80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 руб.;                                                                        - пассажирский лифт для перевозки инвалидов-колясочников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1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7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68,00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руб.;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                         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- громкоговоритель настенный, для оповещения слабовидящих людей - 5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7,20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руб.;       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    - тактильная табличка – 60,32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;                                                                                                    - система онлайн сурдоперевода (подключение одной точки обслуживания)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24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,96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- поручни для инвалидов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15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;                                                                                                   - сенсорный смеситель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6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,24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руб.;                                                                                                        - сенсорная сушилка для рук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–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8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,32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тыс.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255" w:line="270" w:lineRule="atLeast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t xml:space="preserve">Итого: min затраты хозяйствующего субъекта на соблюдение требования 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br/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t xml:space="preserve">2 065,44</w:t>
      </w:r>
      <w:r>
        <w:rPr>
          <w:rFonts w:ascii="Times New Roman" w:hAnsi="Times New Roman" w:eastAsia="Arial" w:cs="Times New Roman"/>
          <w:b/>
          <w:bCs/>
          <w:color w:val="333333"/>
          <w:sz w:val="26"/>
          <w:szCs w:val="26"/>
          <w:u w:val="single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Arial" w:cs="Times New Roman"/>
          <w:color w:val="333333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Arial" w:cs="Times New Roman"/>
          <w:color w:val="333333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right="-141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-141"/>
        <w:spacing w:after="255" w:line="270" w:lineRule="atLeast"/>
        <w:rPr>
          <w:rFonts w:ascii="Times New Roman" w:hAnsi="Times New Roman" w:cs="Times New Roman"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right="-141"/>
        <w:spacing w:after="255" w:line="27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6"/>
    <w:link w:val="64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6"/>
    <w:link w:val="64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6"/>
    <w:link w:val="64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6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6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6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6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6"/>
    <w:link w:val="65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6"/>
    <w:link w:val="668"/>
    <w:uiPriority w:val="10"/>
    <w:rPr>
      <w:sz w:val="48"/>
      <w:szCs w:val="48"/>
    </w:rPr>
  </w:style>
  <w:style w:type="character" w:styleId="36">
    <w:name w:val="Subtitle Char"/>
    <w:basedOn w:val="656"/>
    <w:link w:val="670"/>
    <w:uiPriority w:val="11"/>
    <w:rPr>
      <w:sz w:val="24"/>
      <w:szCs w:val="24"/>
    </w:rPr>
  </w:style>
  <w:style w:type="character" w:styleId="38">
    <w:name w:val="Quote Char"/>
    <w:link w:val="672"/>
    <w:uiPriority w:val="29"/>
    <w:rPr>
      <w:i/>
    </w:rPr>
  </w:style>
  <w:style w:type="character" w:styleId="40">
    <w:name w:val="Intense Quote Char"/>
    <w:link w:val="674"/>
    <w:uiPriority w:val="30"/>
    <w:rPr>
      <w:i/>
    </w:rPr>
  </w:style>
  <w:style w:type="character" w:styleId="42">
    <w:name w:val="Header Char"/>
    <w:basedOn w:val="656"/>
    <w:link w:val="676"/>
    <w:uiPriority w:val="99"/>
  </w:style>
  <w:style w:type="character" w:styleId="46">
    <w:name w:val="Caption Char"/>
    <w:basedOn w:val="680"/>
    <w:link w:val="678"/>
    <w:uiPriority w:val="99"/>
  </w:style>
  <w:style w:type="character" w:styleId="175">
    <w:name w:val="Footnote Text Char"/>
    <w:link w:val="809"/>
    <w:uiPriority w:val="99"/>
    <w:rPr>
      <w:sz w:val="18"/>
    </w:rPr>
  </w:style>
  <w:style w:type="character" w:styleId="178">
    <w:name w:val="Endnote Text Char"/>
    <w:link w:val="812"/>
    <w:uiPriority w:val="99"/>
    <w:rPr>
      <w:sz w:val="20"/>
    </w:rPr>
  </w:style>
  <w:style w:type="paragraph" w:styleId="646" w:default="1">
    <w:name w:val="Normal"/>
    <w:qFormat/>
  </w:style>
  <w:style w:type="paragraph" w:styleId="647">
    <w:name w:val="Heading 1"/>
    <w:basedOn w:val="646"/>
    <w:next w:val="646"/>
    <w:link w:val="65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8">
    <w:name w:val="Heading 2"/>
    <w:basedOn w:val="646"/>
    <w:next w:val="646"/>
    <w:link w:val="66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9">
    <w:name w:val="Heading 3"/>
    <w:basedOn w:val="646"/>
    <w:next w:val="646"/>
    <w:link w:val="66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0">
    <w:name w:val="Heading 4"/>
    <w:basedOn w:val="646"/>
    <w:next w:val="646"/>
    <w:link w:val="66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646"/>
    <w:next w:val="646"/>
    <w:link w:val="66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646"/>
    <w:next w:val="646"/>
    <w:link w:val="66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3">
    <w:name w:val="Heading 7"/>
    <w:basedOn w:val="646"/>
    <w:next w:val="646"/>
    <w:link w:val="66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4">
    <w:name w:val="Heading 8"/>
    <w:basedOn w:val="646"/>
    <w:next w:val="646"/>
    <w:link w:val="66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5">
    <w:name w:val="Heading 9"/>
    <w:basedOn w:val="646"/>
    <w:next w:val="646"/>
    <w:link w:val="66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Заголовок 1 Знак"/>
    <w:link w:val="647"/>
    <w:uiPriority w:val="9"/>
    <w:rPr>
      <w:rFonts w:ascii="Arial" w:hAnsi="Arial" w:eastAsia="Arial" w:cs="Arial"/>
      <w:sz w:val="40"/>
      <w:szCs w:val="40"/>
    </w:rPr>
  </w:style>
  <w:style w:type="character" w:styleId="660" w:customStyle="1">
    <w:name w:val="Заголовок 2 Знак"/>
    <w:link w:val="648"/>
    <w:uiPriority w:val="9"/>
    <w:rPr>
      <w:rFonts w:ascii="Arial" w:hAnsi="Arial" w:eastAsia="Arial" w:cs="Arial"/>
      <w:sz w:val="34"/>
    </w:rPr>
  </w:style>
  <w:style w:type="character" w:styleId="661" w:customStyle="1">
    <w:name w:val="Заголовок 3 Знак"/>
    <w:link w:val="649"/>
    <w:uiPriority w:val="9"/>
    <w:rPr>
      <w:rFonts w:ascii="Arial" w:hAnsi="Arial" w:eastAsia="Arial" w:cs="Arial"/>
      <w:sz w:val="30"/>
      <w:szCs w:val="30"/>
    </w:rPr>
  </w:style>
  <w:style w:type="character" w:styleId="662" w:customStyle="1">
    <w:name w:val="Заголовок 4 Знак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Заголовок 5 Знак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64" w:customStyle="1">
    <w:name w:val="Заголовок 6 Знак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65" w:customStyle="1">
    <w:name w:val="Заголовок 7 Знак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 w:customStyle="1">
    <w:name w:val="Заголовок 8 Знак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Заголовок 9 Знак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Title"/>
    <w:basedOn w:val="646"/>
    <w:next w:val="646"/>
    <w:link w:val="669"/>
    <w:uiPriority w:val="10"/>
    <w:qFormat/>
    <w:pPr>
      <w:contextualSpacing/>
      <w:spacing w:before="300"/>
    </w:pPr>
    <w:rPr>
      <w:sz w:val="48"/>
      <w:szCs w:val="48"/>
    </w:rPr>
  </w:style>
  <w:style w:type="character" w:styleId="669" w:customStyle="1">
    <w:name w:val="Заголовок Знак"/>
    <w:link w:val="668"/>
    <w:uiPriority w:val="10"/>
    <w:rPr>
      <w:sz w:val="48"/>
      <w:szCs w:val="48"/>
    </w:rPr>
  </w:style>
  <w:style w:type="paragraph" w:styleId="670">
    <w:name w:val="Subtitle"/>
    <w:basedOn w:val="646"/>
    <w:next w:val="646"/>
    <w:link w:val="671"/>
    <w:uiPriority w:val="11"/>
    <w:qFormat/>
    <w:pPr>
      <w:spacing w:before="200"/>
    </w:pPr>
    <w:rPr>
      <w:sz w:val="24"/>
      <w:szCs w:val="24"/>
    </w:rPr>
  </w:style>
  <w:style w:type="character" w:styleId="671" w:customStyle="1">
    <w:name w:val="Подзаголовок Знак"/>
    <w:link w:val="670"/>
    <w:uiPriority w:val="11"/>
    <w:rPr>
      <w:sz w:val="24"/>
      <w:szCs w:val="24"/>
    </w:rPr>
  </w:style>
  <w:style w:type="paragraph" w:styleId="672">
    <w:name w:val="Quote"/>
    <w:basedOn w:val="646"/>
    <w:next w:val="646"/>
    <w:link w:val="673"/>
    <w:uiPriority w:val="29"/>
    <w:qFormat/>
    <w:pPr>
      <w:ind w:left="720" w:right="720"/>
    </w:pPr>
    <w:rPr>
      <w:i/>
    </w:rPr>
  </w:style>
  <w:style w:type="character" w:styleId="673" w:customStyle="1">
    <w:name w:val="Цитата 2 Знак"/>
    <w:link w:val="672"/>
    <w:uiPriority w:val="29"/>
    <w:rPr>
      <w:i/>
    </w:rPr>
  </w:style>
  <w:style w:type="paragraph" w:styleId="674">
    <w:name w:val="Intense Quote"/>
    <w:basedOn w:val="646"/>
    <w:next w:val="646"/>
    <w:link w:val="6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 w:customStyle="1">
    <w:name w:val="Выделенная цитата Знак"/>
    <w:link w:val="674"/>
    <w:uiPriority w:val="30"/>
    <w:rPr>
      <w:i/>
    </w:rPr>
  </w:style>
  <w:style w:type="paragraph" w:styleId="676">
    <w:name w:val="Header"/>
    <w:basedOn w:val="64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 w:customStyle="1">
    <w:name w:val="Верхний колонтитул Знак"/>
    <w:link w:val="676"/>
    <w:uiPriority w:val="99"/>
  </w:style>
  <w:style w:type="paragraph" w:styleId="678">
    <w:name w:val="Footer"/>
    <w:basedOn w:val="64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 w:customStyle="1">
    <w:name w:val="Footer Char"/>
    <w:uiPriority w:val="99"/>
  </w:style>
  <w:style w:type="paragraph" w:styleId="680">
    <w:name w:val="Caption"/>
    <w:basedOn w:val="646"/>
    <w:next w:val="64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1" w:customStyle="1">
    <w:name w:val="Нижний колонтитул Знак"/>
    <w:link w:val="678"/>
    <w:uiPriority w:val="99"/>
  </w:style>
  <w:style w:type="table" w:styleId="682">
    <w:name w:val="Table Grid"/>
    <w:basedOn w:val="6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 w:customStyle="1">
    <w:name w:val="Table Grid Light"/>
    <w:basedOn w:val="6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4">
    <w:name w:val="Plain Table 1"/>
    <w:basedOn w:val="65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6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 w:customStyle="1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2" w:customStyle="1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3" w:customStyle="1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4" w:customStyle="1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5" w:customStyle="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6" w:customStyle="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7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4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5" w:customStyle="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6" w:customStyle="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7" w:customStyle="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8" w:customStyle="1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9" w:customStyle="1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0" w:customStyle="1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1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4" w:customStyle="1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5" w:customStyle="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6" w:customStyle="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7" w:customStyle="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8" w:customStyle="1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9" w:customStyle="1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0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8" w:customStyle="1">
    <w:name w:val="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9" w:customStyle="1">
    <w:name w:val="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0" w:customStyle="1">
    <w:name w:val="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1" w:customStyle="1">
    <w:name w:val="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2" w:customStyle="1">
    <w:name w:val="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3" w:customStyle="1">
    <w:name w:val="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4" w:customStyle="1">
    <w:name w:val="Bordered &amp; Lined - Accent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Bordered &amp; Lined - Accent 1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Bordered &amp; Lined - Accent 2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Bordered &amp; Lined - Accent 3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Bordered &amp; Lined - Accent 4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Bordered &amp; Lined - Accent 5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Bordered &amp; Lined - Accent 6"/>
    <w:basedOn w:val="65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2" w:customStyle="1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3" w:customStyle="1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4" w:customStyle="1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5" w:customStyle="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6" w:customStyle="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7" w:customStyle="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563c1" w:themeColor="hyperlink"/>
      <w:u w:val="single"/>
    </w:rPr>
  </w:style>
  <w:style w:type="paragraph" w:styleId="809">
    <w:name w:val="footnote text"/>
    <w:basedOn w:val="64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 w:customStyle="1">
    <w:name w:val="Текст сноски Знак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64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 w:customStyle="1">
    <w:name w:val="Текст концевой сноски Знак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646"/>
    <w:next w:val="646"/>
    <w:uiPriority w:val="39"/>
    <w:unhideWhenUsed/>
    <w:pPr>
      <w:spacing w:after="57"/>
    </w:pPr>
  </w:style>
  <w:style w:type="paragraph" w:styleId="816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17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18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19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20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21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22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23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646"/>
    <w:next w:val="646"/>
    <w:uiPriority w:val="99"/>
    <w:unhideWhenUsed/>
    <w:pPr>
      <w:spacing w:after="0"/>
    </w:pPr>
  </w:style>
  <w:style w:type="paragraph" w:styleId="826">
    <w:name w:val="No Spacing"/>
    <w:basedOn w:val="646"/>
    <w:uiPriority w:val="1"/>
    <w:qFormat/>
    <w:pPr>
      <w:spacing w:after="0" w:line="240" w:lineRule="auto"/>
    </w:pPr>
  </w:style>
  <w:style w:type="paragraph" w:styleId="827">
    <w:name w:val="List Paragraph"/>
    <w:basedOn w:val="646"/>
    <w:uiPriority w:val="34"/>
    <w:qFormat/>
    <w:pPr>
      <w:contextualSpacing/>
      <w:ind w:left="720"/>
    </w:pPr>
  </w:style>
  <w:style w:type="paragraph" w:styleId="828">
    <w:name w:val="Balloon Text"/>
    <w:basedOn w:val="646"/>
    <w:link w:val="82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9" w:customStyle="1">
    <w:name w:val="Текст выноски Знак"/>
    <w:basedOn w:val="656"/>
    <w:link w:val="8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2024-07-30T07:21:00Z</dcterms:created>
  <dcterms:modified xsi:type="dcterms:W3CDTF">2024-08-15T13:18:44Z</dcterms:modified>
</cp:coreProperties>
</file>