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 (инициатор проекта закона Белгородской области):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Министерство сельского хозяйства и продовольствия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Style w:val="842"/>
          <w:rFonts w:ascii="Times New Roman" w:hAnsi="Times New Roman" w:cs="Times New Roman"/>
          <w:b w:val="0"/>
          <w:bCs w:val="0"/>
          <w:sz w:val="26"/>
          <w:szCs w:val="26"/>
        </w:rPr>
        <w:t xml:space="preserve">Проект постановления Правительства Белгородской области</w:t>
      </w:r>
      <w:r>
        <w:rPr>
          <w:rFonts w:ascii="Times New Roman" w:hAnsi="Times New Roman" w:eastAsia="Arial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eastAsia="Arial" w:cs="Times New Roman"/>
          <w:sz w:val="26"/>
          <w:szCs w:val="26"/>
        </w:rPr>
        <w:t xml:space="preserve">О внесении изменений в постановление Правительства Белгородской области от 28 июня 2021 года № 239-пп».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рмативного правового акта: с «08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апреля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года по «2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апреля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года.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Средняя.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Проект нормативного правового акта содержит положения, изменяющие ранее предусмотренные нормативными правовыми актами Белгородской области запреты на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розничную продажу алкогольной продукции и розничную продажу алкогольной продукции при оказании услуг общественного питания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в местах нахождения источников повышенной опасности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Проектом постановления актуализируется перечень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мест нахождения источников повышенной опасности на территории Белгородской области,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питания.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исполнителе в органе-разработчике: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Малеева Анна Викторовна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консультант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отдела лицензирования департамента потребительского рынка министерства сельского хозяйства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продовольствия Белгородской области, контактный телефон: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(4722)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33-68-71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Адрес электронной почты: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maleeva_av@belregion.ru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Отсутствие установленного запрета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розничную продажу алкогольной продукции и розничную продажу алкогольной продукции при оказании услуг общественного питания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в местах нахождения источников повышенной опасности на территории Белгородской области.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Критерием </w:t>
      </w:r>
      <w:r>
        <w:rPr>
          <w:rFonts w:ascii="Times New Roman" w:hAnsi="Times New Roman" w:cs="Times New Roman"/>
          <w:sz w:val="26"/>
          <w:szCs w:val="26"/>
        </w:rPr>
        <w:t xml:space="preserve">определения места нахождения источников повышенной опасности, в котором не допускаются розничная продажа алкогольной продукции и розничная продажа алкогольной продукции при оказании услуг общественного питания, является расположение такого места в границах</w:t>
      </w:r>
      <w:r>
        <w:rPr>
          <w:rFonts w:ascii="Times New Roman" w:hAnsi="Times New Roman" w:cs="Times New Roman"/>
          <w:sz w:val="26"/>
          <w:szCs w:val="26"/>
        </w:rPr>
        <w:t xml:space="preserve"> территории опасного производственного объекта, определенного в соответствии с Федеральным законом от 21 июля 1997 года № 116-ФЗ «О промышленной безопасности опасных производственных объектов» (далее - Федеральный закон «О промышленной безопасности опасных</w:t>
      </w:r>
      <w:r>
        <w:rPr>
          <w:rFonts w:ascii="Times New Roman" w:hAnsi="Times New Roman" w:cs="Times New Roman"/>
          <w:sz w:val="26"/>
          <w:szCs w:val="26"/>
        </w:rPr>
        <w:t xml:space="preserve"> производственных объектов»), для </w:t>
      </w:r>
      <w:r>
        <w:rPr>
          <w:rFonts w:ascii="Times New Roman" w:hAnsi="Times New Roman" w:cs="Times New Roman"/>
          <w:sz w:val="26"/>
          <w:szCs w:val="26"/>
        </w:rPr>
        <w:t xml:space="preserve">которого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предусмотрена обязательная разработка декларации промышленной безопасности.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  <w:lang w:eastAsia="zh-CN"/>
        </w:rPr>
        <w:t xml:space="preserve">Поступление в министерство информации от Верхне-Донского управления Федеральной службы по экологическому, технологическому и атомному надзору </w:t>
      </w:r>
      <w:r>
        <w:rPr>
          <w:rFonts w:ascii="Times New Roman" w:hAnsi="Times New Roman" w:cs="Times New Roman"/>
          <w:iCs/>
          <w:sz w:val="26"/>
          <w:szCs w:val="26"/>
          <w:lang w:eastAsia="zh-CN"/>
        </w:rPr>
        <w:br/>
      </w:r>
      <w:r>
        <w:rPr>
          <w:rFonts w:ascii="Times New Roman" w:hAnsi="Times New Roman" w:cs="Times New Roman"/>
          <w:iCs/>
          <w:sz w:val="26"/>
          <w:szCs w:val="26"/>
          <w:lang w:eastAsia="zh-CN"/>
        </w:rPr>
        <w:t xml:space="preserve">на территории Белгородской области о </w:t>
      </w:r>
      <w:r>
        <w:rPr>
          <w:rFonts w:ascii="Times New Roman" w:hAnsi="Times New Roman" w:cs="Times New Roman"/>
          <w:iCs/>
          <w:sz w:val="26"/>
          <w:szCs w:val="26"/>
          <w:lang w:eastAsia="zh-CN"/>
        </w:rPr>
        <w:t xml:space="preserve">16</w:t>
      </w:r>
      <w:r>
        <w:rPr>
          <w:rFonts w:ascii="Times New Roman" w:hAnsi="Times New Roman" w:cs="Times New Roman"/>
          <w:iCs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местах нахождения источников повышенной опасности в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6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муниципальных образованиях. При анализе действующего законодательства в сфере </w:t>
      </w:r>
      <w:r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розничной продажи алкогольной продукции и розничной продажи алкогольной продукции при оказании услуг общественного питания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выявлено несоответствие информации с поступившей информацией из федерального органа государственной власти.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проблемы: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Белгородской области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не во всех местах нахождения источников повышенной опасности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 запрет на осуществление розничной продажи алкогольной продукции и розничная продажа алкогольной продукции при оказании услуг общественного питания.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деятельности:*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Опыт </w:t>
      </w:r>
      <w:r>
        <w:rPr>
          <w:rFonts w:ascii="Times New Roman" w:hAnsi="Times New Roman" w:cs="Times New Roman"/>
          <w:sz w:val="26"/>
          <w:szCs w:val="26"/>
        </w:rPr>
        <w:t xml:space="preserve">установления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мест нахождения источников повышенной опасности</w:t>
      </w:r>
      <w:r>
        <w:rPr>
          <w:rFonts w:ascii="Times New Roman" w:hAnsi="Times New Roman" w:cs="Times New Roman"/>
          <w:sz w:val="26"/>
          <w:szCs w:val="26"/>
        </w:rPr>
        <w:t xml:space="preserve"> реализован в Архангельской, Псковской и Кировской областях: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Правительства Архангельской области от 05.03.2013 № 94-пп (ред. от 13.02.2023) «Об определении мест нахождения источников повышенной опасности, в которых не допускается розничная продажа алкогольной продукции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розничная продажа алкогольной продукции при оказании услуг общественного питания на территории Архангельской области»;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Правительства Псковской области от 29.11.2022 № 296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«О местах нахождения на территории Псковской области источников повышенной опасности, в которых не допускается розничная продажа алкогольной продукции»;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Кировской области от 27.04.2021 № 202-П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перечня мест нахождения источников повышенной опасности,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которых не допускаются розничная продажа алкогольной продукции и розничная продажа алкогольной продукции при оказании услуг общественного питания».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нормативного правового акта разработан в целях обеспечения безопасности и соблюдения правопорядка 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местах нахождения источников повышенной опасности, расположенных на территории Белгородской области.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Обеспечение безопасности жителей муниципальных образований области, исключение случаев нарушения общественного порядка в границах опасных производственных объектов.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Предлагаемое правовое регулирование в полной мере соответствует положениям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подпункта 7 пункта 2 статьи 16 Федерального закона № 171-ФЗ</w:t>
      </w:r>
      <w:r>
        <w:rPr>
          <w:rFonts w:ascii="Times New Roman" w:hAnsi="Times New Roman" w:cs="Times New Roman"/>
          <w:sz w:val="26"/>
          <w:szCs w:val="26"/>
        </w:rPr>
        <w:t xml:space="preserve">, предусматривающего запрет розничной продажи алкогольной продукции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розничной продажи алкогольной продукции при оказании услуг общественного питания в местах нахождения источников повышенной опасности.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декабрь 202</w:t>
      </w:r>
      <w:r>
        <w:rPr>
          <w:rFonts w:ascii="Times New Roman" w:hAnsi="Times New Roman" w:eastAsia="Calibri" w:cs="Times New Roman"/>
          <w:sz w:val="26"/>
          <w:szCs w:val="26"/>
        </w:rPr>
        <w:t xml:space="preserve">5</w:t>
      </w:r>
      <w:r>
        <w:rPr>
          <w:rFonts w:ascii="Times New Roman" w:hAnsi="Times New Roman" w:eastAsia="Calibri" w:cs="Times New Roman"/>
          <w:sz w:val="26"/>
          <w:szCs w:val="26"/>
        </w:rPr>
        <w:t xml:space="preserve"> года.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 Иная информация о целях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Отсутствует.</w:t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преодоления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связанных с ней негативных эффектов: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Проектом постановления актуализируется перечень </w:t>
      </w:r>
      <w:r>
        <w:rPr>
          <w:rFonts w:ascii="Times New Roman" w:hAnsi="Times New Roman" w:cs="Times New Roman"/>
          <w:sz w:val="26"/>
          <w:szCs w:val="26"/>
        </w:rPr>
        <w:t xml:space="preserve">мест нахождения источников повышенной опасности на территории Белгородской области,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Альтернативным способом решения вышеуказанной проблемы является: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пределить проектом постановления Правительства Белгородской области,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что местом нахождения источников повышенной опасности, в котором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не допускаются розничная продажа алкогольной продукции и розничная продажа алкогольной продукции при оказании услуг общественного питания, является территория, расположенная в гран</w:t>
      </w:r>
      <w:r>
        <w:rPr>
          <w:rFonts w:ascii="Times New Roman" w:hAnsi="Times New Roman" w:cs="Times New Roman"/>
          <w:sz w:val="26"/>
          <w:szCs w:val="26"/>
        </w:rPr>
        <w:t xml:space="preserve">ицах территории опасного производственного объекта, определенного в соответствии с Федеральным законом «О промышленной безопасности опасных производственных объектов», для которого предусмотрена обязательная разработка декларации промышленной безопасности.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Однако, согласно такому регулированию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организациям, осуществляющим розничную продажу алкогольной продукции и розничную продажу алкогольной продукции при оказании услуг общественного питания, организациям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индивидуальным предпринимателям, осуществляющим розничную продажу пива, пивных напитков, сидра,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пуаре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медовухи и розничную продажу пива, пивных напитков, сидра,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пуаре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медовухи при оказании услуг общественного питания необходимо будет самостоятельно обращаться в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Верхне-Донское управление Федеральной службы по экологическому, технологическому и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атомному надзору </w:t>
      </w:r>
      <w:r>
        <w:rPr>
          <w:rFonts w:ascii="Times New Roman" w:hAnsi="Times New Roman" w:cs="Times New Roman"/>
          <w:sz w:val="26"/>
          <w:szCs w:val="26"/>
          <w:lang w:eastAsia="zh-CN"/>
        </w:rPr>
        <w:br/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на территории Белгородской области для получения информации о нахождении </w:t>
      </w:r>
      <w:r>
        <w:rPr>
          <w:rFonts w:ascii="Times New Roman" w:hAnsi="Times New Roman" w:cs="Times New Roman"/>
          <w:sz w:val="26"/>
          <w:szCs w:val="26"/>
        </w:rPr>
        <w:t xml:space="preserve">мест источников повышенной опасности на территории Белгородской области, в котором не допускаются розничная продажа алкогольной продукции и розничная продажа алкогольной продукции при оказании услуг общественного питания, что повлечет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за собой дополнительные затраты, а соответственно 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дополнительных расходов для хозяйствующих субъектов.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Для получения информации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о нахождении </w:t>
      </w:r>
      <w:r>
        <w:rPr>
          <w:rFonts w:ascii="Times New Roman" w:hAnsi="Times New Roman" w:cs="Times New Roman"/>
          <w:sz w:val="26"/>
          <w:szCs w:val="26"/>
        </w:rPr>
        <w:t xml:space="preserve">мест источников повышенной опасности на территории Белгородской области, в котором не допускаются розничная продажа алкогольной продукции и розничная продажа алкогольной продукции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при оказании услуг общественного питания необходимо: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составить запрос в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Верхне-Донское управление Федеральной службы </w:t>
      </w:r>
      <w:r>
        <w:rPr>
          <w:rFonts w:ascii="Times New Roman" w:hAnsi="Times New Roman" w:cs="Times New Roman"/>
          <w:sz w:val="26"/>
          <w:szCs w:val="26"/>
          <w:lang w:eastAsia="zh-CN"/>
        </w:rPr>
        <w:br/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по экологическому, технологическому и атомному надзору на территории Белгородской области – 0,2 </w:t>
      </w:r>
      <w:r>
        <w:rPr>
          <w:rFonts w:ascii="Times New Roman" w:hAnsi="Times New Roman" w:cs="Times New Roman"/>
          <w:sz w:val="26"/>
          <w:szCs w:val="26"/>
        </w:rPr>
        <w:t xml:space="preserve">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направить запрос в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Верхне-Донское управление Федеральной службы </w:t>
      </w:r>
      <w:r>
        <w:rPr>
          <w:rFonts w:ascii="Times New Roman" w:hAnsi="Times New Roman" w:cs="Times New Roman"/>
          <w:sz w:val="26"/>
          <w:szCs w:val="26"/>
          <w:lang w:eastAsia="zh-CN"/>
        </w:rPr>
        <w:br/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по экологическому, технологическому и атомному надзору на территории Белгородской области – 0,1 </w:t>
      </w:r>
      <w:r>
        <w:rPr>
          <w:rFonts w:ascii="Times New Roman" w:hAnsi="Times New Roman" w:cs="Times New Roman"/>
          <w:sz w:val="26"/>
          <w:szCs w:val="26"/>
        </w:rPr>
        <w:t xml:space="preserve">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получение ответа и анализ информации от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Верхне-Донского управления Федеральной службы по экологическому, технологическому и атомному надзору </w:t>
      </w:r>
      <w:r>
        <w:rPr>
          <w:rFonts w:ascii="Times New Roman" w:hAnsi="Times New Roman" w:cs="Times New Roman"/>
          <w:sz w:val="26"/>
          <w:szCs w:val="26"/>
          <w:lang w:eastAsia="zh-CN"/>
        </w:rPr>
        <w:br/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на территории Белгородской области – 0,3 </w:t>
      </w:r>
      <w:r>
        <w:rPr>
          <w:rFonts w:ascii="Times New Roman" w:hAnsi="Times New Roman" w:cs="Times New Roman"/>
          <w:sz w:val="26"/>
          <w:szCs w:val="26"/>
        </w:rPr>
        <w:t xml:space="preserve">чел./час.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Среднемесячная заработная плата по Белгородской области: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69 047,8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руб.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Средняя стоимость часа работы: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392,32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руб.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69 047,8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/22 рабочих дня/ 8 рабочих часов).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Общая стоимость затрат: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392,32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руб. * 0,6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чел./час.) *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2225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организаций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 индивидуальных предпринимателя =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523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74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тыс. руб.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4.3. Обоснование выбора предлагаемого способа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Утверждение перечня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мест </w:t>
      </w:r>
      <w:r>
        <w:rPr>
          <w:rFonts w:ascii="Times New Roman" w:hAnsi="Times New Roman" w:cs="Times New Roman"/>
          <w:sz w:val="26"/>
          <w:szCs w:val="26"/>
        </w:rPr>
        <w:t xml:space="preserve">нахождения источников повышенной опасности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Белгородской области, в которых не допускаются розничная продажа алкогольной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продукции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 розничная продажа алкогольной продукции при оказании услуг общественного питания конкретизирует месторасположение таких источников </w:t>
      </w:r>
      <w:r>
        <w:rPr>
          <w:rFonts w:ascii="Times New Roman" w:hAnsi="Times New Roman" w:cs="Times New Roman"/>
          <w:sz w:val="26"/>
          <w:szCs w:val="26"/>
        </w:rPr>
        <w:t xml:space="preserve">в границах территории опасного производственного объекта и позволит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организациям, осуществляющим розничную продажу алкогольной продукции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розничную продажу алкогольной продукции при оказании услуг общественного питания, организациям и индивидуальным предпринимателям, осуществляющим розничную продажу пива, пивных напитков, сидра,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пуаре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медовухи и розничную продажу пива, пивных напитков, сидра,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пуаре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медовухи при оказании услуг общественного питания избежать необоснованных затрат в размере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523,74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тыс. руб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5"/>
        <w:gridCol w:w="4852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Орган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изации, осуществляющие розничную продажу алкогольной продукции и розничную продажу алкогольной продукции при оказании услуг общественного питания, организации и индивидуальные предприниматели, осуществляющие розничную продажу пива, пивных напитков, сидра,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пуаре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медовухи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розничную продажу пива, пивных напитков, сидра,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пуаре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медовухи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 оказании услуг общественного 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302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организации имеющие лицензии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розничную продажу алкогольной продукции и розничную продажу алкогольной продукции при оказании услуг общественного питания;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- 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225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организации и индивидуальных предпринимателя,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осуществляющих розничную продажу пива, пивных напитков, сидра,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пуаре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медовухи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розничную продажу пива, пивных напитков, сидра,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пуаре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медовухи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 оказании услуг общественного питания.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/>
    </w:p>
    <w:tbl>
      <w:tblPr>
        <w:tblpPr w:horzAnchor="margin" w:tblpXSpec="left" w:vertAnchor="text" w:tblpY="6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2727"/>
        <w:gridCol w:w="467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Оценка изменения расходов/доходов,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издержек/выгод,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тыс. руб.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Организации, осуществляющие розничную продажу алкогольной продукции и розничную продажу алкогольной продукции при оказании услуг общественного питания, организации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индивидуальные предприниматели, осуществляющие розничную продажу пива, пивных напитков, сидра,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пуаре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медовухи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розничную продажу пива, пивных напитков, сидра,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пуаре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медовухи при оказании услуг общественного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20"/>
                <w:szCs w:val="20"/>
                <w:lang w:eastAsia="ru-RU"/>
              </w:rPr>
              <w:t xml:space="preserve">Актуализация </w:t>
            </w:r>
            <w:r>
              <w:rPr>
                <w:rFonts w:ascii="Times New Roman" w:hAnsi="Times New Roman" w:eastAsia="Times New Roman"/>
                <w:iCs/>
                <w:sz w:val="20"/>
                <w:szCs w:val="20"/>
                <w:lang w:eastAsia="ru-RU"/>
              </w:rPr>
              <w:t xml:space="preserve">перечня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мест нахождения источников повышенной опасности</w:t>
            </w: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br/>
            </w: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на территории Белгородской области,</w:t>
            </w:r>
            <w:r>
              <w:rPr>
                <w:rFonts w:ascii="Times New Roman" w:hAnsi="Times New Roman" w:eastAsia="Times New Roman"/>
                <w:iCs/>
                <w:sz w:val="20"/>
                <w:szCs w:val="20"/>
                <w:lang w:eastAsia="ru-RU"/>
              </w:rPr>
              <w:t xml:space="preserve"> в которых запрещена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розничная продажа алкогольной продукции и розничная продажа алкогольной продукции при оказании услу</w:t>
            </w:r>
            <w:bookmarkStart w:id="1" w:name="_GoBack"/>
            <w:r/>
            <w:bookmarkEnd w:id="1"/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г общественного питания</w:t>
            </w: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По представленной информации Верхне-Донского управления Федеральной службы по экологическому,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технологическому и атомному надзору на территории Белгородской области в 2024 году составило 13 источников повышенной опасности, а в 2025 году – 16 источников повышенной опасности, что на 3 источника повышенной опасности больше, чем в 2024 году.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Утверждение актуального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перечня мест нахождения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источников повышенной опасности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на территории Белгородской области позволит хозяйствующим субъектам избежать необоснованных затрат, связанных с подготовкой документов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на получение/переоформление лицензии: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1) В случае подачи заявления на переоформление лицензии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розничную продажу алкогольной продукции и розничную продажу алкогольной продукции при оказании услуг общественного питания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в связи с добавлением обособленного подразделения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 местах нахождения источников повышенной опасности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Государственная пошлина за переоформление лицензии в соответствии с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подпунктом 94 пункта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1 статьи 333.33 НК РФ: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3500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Общая стоимость затрат: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392,32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руб. * 1,9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чел./час. + 3500 руб. пошлина) *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организаций =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1 282,11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тыс. руб.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 2024 году стоимость затрат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составляла 1198,14 тыс. руб., прирост стоимости затрат составил около 84 тысячи рублей (или приблизительно 7%).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2)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В случае подачи заявления на выдачу лицензии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розничную продажу алкогольной продукции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розничную продажу алкогольной продукции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оказании услуг общественного питания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 местах нахождения источников повышенной опасности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Государственная пошлина за выдачу лицензии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в соответствии с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подпунктом 94 пункта 1 статьи 333.33 НК РФ: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65 000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Общая стоимость затрат: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392,32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руб. * 1,9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чел./час. + 65000 руб. пошлина) *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организаций =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19 855,11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тыс. руб.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 2024 году общая сумма затрат составляла 19 217,64 тыс. рублей,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рост составил около 637,47 тыс. рублей (примерно 3,31%).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2.Для организаций и индивидуальных предпринимате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лей, осуществляющих розничную продажу пива, пивных напитков, сидра,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пуаре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медовухи и розничную продажу пива, пивных напитков, сидра,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пуаре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медовухи при оказании услуг общественного питания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Общая стоимость затрат: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392,32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руб. * 1,4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чел./час.) *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2225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организации и индивидуального предпринимателя =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1 222,08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тыс. руб.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 2024 году общие затраты составляли 951,69 тыс. рублей, рост составил около 270,39 тыс. рублей (примерно 28,41%).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изменении:*</w:t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3576"/>
        <w:gridCol w:w="226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6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Не установлено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</w:t>
      </w:r>
      <w:r>
        <w:rPr>
          <w:rFonts w:ascii="Times New Roman" w:hAnsi="Times New Roman" w:eastAsia="Calibri" w:cs="Times New Roman"/>
          <w:sz w:val="26"/>
          <w:szCs w:val="26"/>
        </w:rPr>
        <w:t xml:space="preserve">7</w:t>
      </w:r>
      <w:r>
        <w:rPr>
          <w:rFonts w:ascii="Times New Roman" w:hAnsi="Times New Roman" w:eastAsia="Calibri" w:cs="Times New Roman"/>
          <w:sz w:val="26"/>
          <w:szCs w:val="26"/>
        </w:rPr>
        <w:t xml:space="preserve">. Оценка расходов (возможных поступлений) консолидированного бюджета Белгородской области:*</w:t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110"/>
        <w:gridCol w:w="2268"/>
      </w:tblGrid>
      <w:tr>
        <w:trPr/>
        <w:tc>
          <w:tcPr>
            <w:tcW w:w="3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тыс. руб.</w:t>
            </w:r>
            <w:r/>
          </w:p>
        </w:tc>
      </w:tr>
      <w:tr>
        <w:trPr/>
        <w:tc>
          <w:tcPr>
            <w:tcW w:w="328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Расходов (дополнительных поступлений) консолидированного бюджета Белгородской области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не предусмотрено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 Информация о наличии или отсутствии в проекте нормативного правового акта обязательных требований: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Cs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iCs/>
          <w:sz w:val="26"/>
          <w:szCs w:val="26"/>
          <w:lang w:eastAsia="ru-RU"/>
        </w:rPr>
        <w:t xml:space="preserve">Запрет </w:t>
      </w:r>
      <w:r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розничной продажи алкогольной продукции и розничной продажи алкогольной продукции при оказании услуг общественного питания</w:t>
      </w:r>
      <w:r>
        <w:rPr>
          <w:rFonts w:ascii="Times New Roman" w:hAnsi="Times New Roman" w:cs="Times New Roman"/>
          <w:iCs/>
          <w:sz w:val="26"/>
          <w:szCs w:val="26"/>
          <w:lang w:eastAsia="zh-CN"/>
        </w:rPr>
        <w:t xml:space="preserve"> в местах нахождения источников повышенной опасности на территории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методов контроля эффективности избранного способа достижения целей регулирования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:</w:t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843"/>
        <w:gridCol w:w="48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Методы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контроля эффективности избранного способа достижения целей регулирования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  <w:t xml:space="preserve">Не исполнение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  <w:t xml:space="preserve">требований действующего федерального законодательства.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Мониторинг поступивших заявлений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на выдачу/переоформление лицензии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розничную продажу алкогольной продукции и розничную продажу алкогольной продукции при оказании услуг общественного питания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и информация из обращений граждан, государственных и муниципальных органов, интернета, газет, радио и других источников информации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об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осуществлении розничной продажи пива, пивных напитков, сидра,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пуаре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медовухи и розничную продажу пива, пивных напитков, сидра,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пуаре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медовухи при оказании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общественного питания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1527"/>
        <w:gridCol w:w="2126"/>
        <w:gridCol w:w="1559"/>
        <w:gridCol w:w="159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Объем финансирования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Источники финансирования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проекта </w:t>
            </w:r>
            <w:r>
              <w:rPr>
                <w:rStyle w:val="842"/>
                <w:rFonts w:ascii="Times New Roman" w:hAnsi="Times New Roman" w:eastAsia="Arial" w:cs="Times New Roman"/>
                <w:b w:val="0"/>
                <w:bCs w:val="0"/>
                <w:sz w:val="26"/>
                <w:szCs w:val="26"/>
              </w:rPr>
              <w:t xml:space="preserve">проект постановления Правительства Белгородской области</w:t>
            </w:r>
            <w:r>
              <w:rPr>
                <w:rFonts w:ascii="Times New Roman" w:hAnsi="Times New Roman" w:eastAsia="Arial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6"/>
                <w:szCs w:val="26"/>
              </w:rPr>
              <w:t xml:space="preserve">О внесении изменений в постановление Правительства Белгородской области от 28 июня 2021 года № 239-пп»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сети Интернет, на официальном сайте министерства экономического развития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апрель – май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br/>
              <w:t xml:space="preserve">202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Осведомленность подконтрольных субъектов о порядке определения устанавливаемых ограничений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-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регулирования:*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989"/>
        <w:gridCol w:w="3250"/>
        <w:gridCol w:w="1985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в предложенном регулировании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Количественное значение ключевых показателей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контроля эффективности достижения целей правового регулирования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(не более 5 лет)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Отсутствие установленных фактов продажи алкогольной продукции в местах нахождения источников повышенной опасности, определенных постановлением Правительства Белгородской области от 28.06.2021 г. № 239-пп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5"/>
                <w:szCs w:val="25"/>
              </w:rPr>
            </w:pPr>
            <w:r>
              <w:rPr>
                <w:rFonts w:ascii="Times New Roman" w:hAnsi="Times New Roman" w:eastAsia="Calibri" w:cs="Times New Roman"/>
                <w:bCs/>
                <w:sz w:val="25"/>
                <w:szCs w:val="25"/>
              </w:rPr>
              <w:t xml:space="preserve">-Мониторинг поступивших заявлений на выдачу/переоформление лицензии на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розничную продажу алкогольной продукции и розничную продажу алкогольной продукции при оказании услуг общественного питания</w:t>
            </w:r>
            <w:r>
              <w:rPr>
                <w:rFonts w:ascii="Times New Roman" w:hAnsi="Times New Roman" w:eastAsia="Calibri" w:cs="Times New Roman"/>
                <w:bCs/>
                <w:sz w:val="25"/>
                <w:szCs w:val="25"/>
              </w:rPr>
              <w:t xml:space="preserve"> в местах нахождения источников повышенной опасности;</w:t>
            </w:r>
            <w:r>
              <w:rPr>
                <w:sz w:val="25"/>
                <w:szCs w:val="25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5"/>
                <w:szCs w:val="25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eastAsia="Calibri" w:cs="Times New Roman"/>
                <w:bCs/>
                <w:sz w:val="25"/>
                <w:szCs w:val="25"/>
              </w:rPr>
              <w:t xml:space="preserve">- мониторинг обращений граждан, государственных и муниципальных органов, социальных сетей, открытых источников размещения информации, направленный на выявление фактов незаконной 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продажи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алкогольной продукции </w:t>
            </w:r>
            <w:r>
              <w:rPr>
                <w:rFonts w:ascii="Times New Roman" w:hAnsi="Times New Roman" w:eastAsia="Calibri" w:cs="Times New Roman"/>
                <w:bCs/>
                <w:sz w:val="25"/>
                <w:szCs w:val="25"/>
              </w:rPr>
              <w:t xml:space="preserve">в местах нахождения источников повышенной опасности.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Декабрь 202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8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г.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1 сентября 202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279"/>
        <w:gridCol w:w="466"/>
        <w:gridCol w:w="1385"/>
        <w:gridCol w:w="457"/>
        <w:gridCol w:w="457"/>
        <w:gridCol w:w="1810"/>
      </w:tblGrid>
      <w:tr>
        <w:trPr>
          <w:trHeight w:val="41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>
          <w:trHeight w:val="67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Начальник департамента потребительского рынка министерства сельского хозяйства и продовольствия Белгородской области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Н.Ю. Горбачёва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(инициалы, фамилия)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(дата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)</w:t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(подпись)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567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34"/>
    <w:next w:val="634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Название Знак"/>
    <w:basedOn w:val="644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basedOn w:val="644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44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44"/>
    <w:uiPriority w:val="99"/>
  </w:style>
  <w:style w:type="paragraph" w:styleId="687">
    <w:name w:val="Caption"/>
    <w:basedOn w:val="634"/>
    <w:next w:val="63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 w:customStyle="1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 w:customStyle="1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 w:customStyle="1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 w:customStyle="1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 w:customStyle="1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634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44"/>
    <w:uiPriority w:val="99"/>
    <w:unhideWhenUsed/>
    <w:rPr>
      <w:vertAlign w:val="superscript"/>
    </w:rPr>
  </w:style>
  <w:style w:type="paragraph" w:styleId="819">
    <w:name w:val="endnote text"/>
    <w:basedOn w:val="634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44"/>
    <w:uiPriority w:val="99"/>
    <w:semiHidden/>
    <w:unhideWhenUsed/>
    <w:rPr>
      <w:vertAlign w:val="superscript"/>
    </w:rPr>
  </w:style>
  <w:style w:type="paragraph" w:styleId="822">
    <w:name w:val="toc 1"/>
    <w:basedOn w:val="634"/>
    <w:next w:val="634"/>
    <w:uiPriority w:val="39"/>
    <w:unhideWhenUsed/>
    <w:pPr>
      <w:spacing w:after="57"/>
    </w:pPr>
  </w:style>
  <w:style w:type="paragraph" w:styleId="823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4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5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6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7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8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9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30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34"/>
    <w:next w:val="634"/>
    <w:uiPriority w:val="99"/>
    <w:unhideWhenUsed/>
    <w:pPr>
      <w:spacing w:after="0"/>
    </w:pPr>
  </w:style>
  <w:style w:type="paragraph" w:styleId="83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6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7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8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9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40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1" w:customStyle="1">
    <w:name w:val="Знак"/>
    <w:basedOn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42">
    <w:name w:val="Strong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89</cp:revision>
  <dcterms:created xsi:type="dcterms:W3CDTF">2024-02-29T06:13:00Z</dcterms:created>
  <dcterms:modified xsi:type="dcterms:W3CDTF">2025-04-08T12:57:46Z</dcterms:modified>
</cp:coreProperties>
</file>