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 (инициатор проекта закона Белгородской области): </w:t>
      </w:r>
      <w:r>
        <w:rPr>
          <w:rFonts w:ascii="Times New Roman" w:hAnsi="Times New Roman" w:eastAsia="Calibri" w:cs="Times New Roman"/>
          <w:sz w:val="26"/>
          <w:szCs w:val="26"/>
          <w:highlight w:val="none"/>
          <w:lang w:eastAsia="ru-RU"/>
        </w:rPr>
        <w:t xml:space="preserve">Белгородская областная Дума.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Проект закона Белгородской области «О внесении изменений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br/>
        <w:t xml:space="preserve">в закон Белгородской области «О регулировании отдельных вопросов в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сфере розничной продажи алкогольной продукции»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нормативного правового акта: с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09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 «22» августа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2024 года.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Средняя.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Проект нормативного правовог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 акта содержит положения, изменяющие ранее предусмотренные нормативными правовыми актами Белгородской области обязанности для хозяйствующих субъектов, осуществляющих розничную продажу алкогольной продукции на территории Белгородской области. Проект закона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ограничивает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время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 с 22.00 часов до 10.00 часов.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1.5. Контактная информация об исполнителе (составителе отчета об ОРВ):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Боровской Максим Вячеславович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консультант отдела регионального контроля департамента потребительского рынка министерства сельского хозяйства и продовольствия Белгородской области, контактный телефон: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(4722) 32-51-89. Адрес электронной почты: borovskoy@belapk.ru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Реализация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алкогольной продукции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 объ</w:t>
      </w:r>
      <w:r>
        <w:rPr>
          <w:rFonts w:ascii="Times New Roman" w:hAnsi="Times New Roman" w:eastAsia="Calibri" w:cs="Times New Roman"/>
          <w:sz w:val="26"/>
          <w:szCs w:val="26"/>
        </w:rPr>
        <w:t xml:space="preserve">ектах общественного питания, расположенных в многоквартирных домах и на прилегающих к ним территориях, </w:t>
      </w:r>
      <w:r>
        <w:rPr>
          <w:rFonts w:ascii="Times New Roman" w:hAnsi="Times New Roman" w:eastAsia="Calibri" w:cs="Times New Roman"/>
          <w:sz w:val="26"/>
          <w:szCs w:val="26"/>
        </w:rPr>
        <w:br/>
      </w:r>
      <w:r>
        <w:rPr>
          <w:rFonts w:ascii="Times New Roman" w:hAnsi="Times New Roman" w:eastAsia="Calibri" w:cs="Times New Roman"/>
          <w:sz w:val="26"/>
          <w:szCs w:val="26"/>
        </w:rPr>
        <w:t xml:space="preserve">в которых осуществляется розничная продажа алког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ольной продукции при оказании услуг общественного питания, в том числе круглосуточная розничная продажа алкогольной продукции, что способствует нарушению в вечернее и ночное время тишины и общественного порядка, в том числе во дворах многоквартирных домов.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Проблема возникла в связи с регулярным поступлением обращений граждан относительно работающих допоздна предприятий общепита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 многоквартирных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домах, то есть в непосредственной близости от жилых помещений, что препятствует нормальному отдыху в ночное время.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</w:t>
      </w:r>
      <w:r>
        <w:rPr>
          <w:rFonts w:ascii="Times New Roman" w:hAnsi="Times New Roman" w:eastAsia="Calibri" w:cs="Times New Roman"/>
          <w:sz w:val="26"/>
          <w:szCs w:val="26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нарушение тишины и общественного порядка в вечернее и ночное время во дворах многоквартирных домов и на прилегающих к ним территориях;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</w:t>
      </w:r>
      <w:r>
        <w:rPr>
          <w:rFonts w:ascii="Times New Roman" w:hAnsi="Times New Roman" w:eastAsia="Calibri" w:cs="Times New Roman"/>
          <w:sz w:val="26"/>
          <w:szCs w:val="26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увеличение социальной напряженности среди граждан, проживающих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многоквартирных домах, не имеющих возможность полноценно отдохнуть в ночное время;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</w:t>
      </w:r>
      <w:r>
        <w:rPr>
          <w:rFonts w:ascii="Times New Roman" w:hAnsi="Times New Roman" w:eastAsia="Calibri" w:cs="Times New Roman"/>
          <w:sz w:val="26"/>
          <w:szCs w:val="26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рост количества жалоб и обращений о нарушении прав граждан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связи с наличием в многоквартирном доме и (или) на прилегающей к нему территории объекта общественного питания, осуществляющего розничную продажу алкогольной продукции в вечернее и ночное время.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деятельности:*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Изученный опыт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других регионов в части ограничения времени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реализации ал</w:t>
      </w:r>
      <w:r>
        <w:rPr>
          <w:rFonts w:ascii="Times New Roman" w:hAnsi="Times New Roman" w:eastAsia="Calibri" w:cs="Times New Roman"/>
          <w:sz w:val="26"/>
          <w:szCs w:val="26"/>
        </w:rPr>
        <w:t xml:space="preserve">когольной продукции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 предприятиях общественного питания не предусматривает установление ограничени</w:t>
      </w:r>
      <w:r>
        <w:rPr>
          <w:rFonts w:ascii="Times New Roman" w:hAnsi="Times New Roman" w:eastAsia="Calibri" w:cs="Times New Roman"/>
          <w:sz w:val="26"/>
          <w:szCs w:val="26"/>
        </w:rPr>
        <w:t xml:space="preserve">я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 Цели вводимого правового регулирования и измеримые показатели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  <w:t xml:space="preserve">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 закона разработан в целях обеспечения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тишины, общественного порядка и общественной безопасности вблизи многоквартирных домов, обеспечение полноценного отдыха в вечернее и ночное время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Представленный проект закона Белгородской области подготовлен в целях дополнительного регулирования розничной продажи алкогольной продукции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на территории Белгородской области в соответствии с правом устанавливать дополнительные </w:t>
      </w:r>
      <w:hyperlink r:id="rId8" w:tooltip="consultantplus://offline/ref=EDE321C9382906F26B545A4CD113F9B5EEC51573B6E7B17283A4D4460144FC5ABB5B895C4F81FB09B9CFC7356Eu7rAH" w:history="1">
        <w:r>
          <w:rPr>
            <w:rFonts w:ascii="Times New Roman" w:hAnsi="Times New Roman" w:eastAsia="Calibri" w:cs="Times New Roman"/>
            <w:sz w:val="26"/>
            <w:szCs w:val="26"/>
          </w:rPr>
          <w:t xml:space="preserve">ограничения</w:t>
        </w:r>
      </w:hyperlink>
      <w:r>
        <w:rPr>
          <w:rFonts w:ascii="Times New Roman" w:hAnsi="Times New Roman" w:eastAsia="Calibri" w:cs="Times New Roman"/>
          <w:sz w:val="26"/>
          <w:szCs w:val="26"/>
        </w:rPr>
        <w:t xml:space="preserve"> времени, условий и мест розничной продажи алкогольной продукции, предоставленным органам государственной власти субъектов Российской Федерации статьей 16 Федерального закона от 22 ноября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ма</w:t>
      </w:r>
      <w:r>
        <w:rPr>
          <w:rFonts w:ascii="Times New Roman" w:hAnsi="Times New Roman" w:eastAsia="Calibri" w:cs="Times New Roman"/>
          <w:sz w:val="26"/>
          <w:szCs w:val="26"/>
        </w:rPr>
        <w:t xml:space="preserve">рт</w:t>
      </w:r>
      <w:r>
        <w:rPr>
          <w:rFonts w:ascii="Times New Roman" w:hAnsi="Times New Roman" w:eastAsia="Calibri" w:cs="Times New Roman"/>
          <w:sz w:val="26"/>
          <w:szCs w:val="26"/>
        </w:rPr>
        <w:t xml:space="preserve"> 202</w:t>
      </w:r>
      <w:r>
        <w:rPr>
          <w:rFonts w:ascii="Times New Roman" w:hAnsi="Times New Roman" w:eastAsia="Calibri" w:cs="Times New Roman"/>
          <w:sz w:val="26"/>
          <w:szCs w:val="26"/>
        </w:rPr>
        <w:t xml:space="preserve">5</w:t>
      </w:r>
      <w:r>
        <w:rPr>
          <w:rFonts w:ascii="Times New Roman" w:hAnsi="Times New Roman" w:eastAsia="Calibri" w:cs="Times New Roman"/>
          <w:sz w:val="26"/>
          <w:szCs w:val="26"/>
        </w:rPr>
        <w:t xml:space="preserve"> года.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 Иная информация о целях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Отсутствует.</w:t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Ограничение 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к ним территориях, с 22.00 часов до 10.00 часов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 w:val="0"/>
          <w:i w:val="0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Альтернативным способом решения вышеуказанной проблемы является установление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полного запрета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розничной продажи алкогольной продукции 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объектах общественного питания, расположенных в многоквартирных домах и на прилегающих к ним территориях, в которых осуществляется розничная продажа а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lang w:eastAsia="ru-RU"/>
        </w:rPr>
        <w:t xml:space="preserve">лкогольной продукции при оказании услуг общественного питания.</w:t>
      </w:r>
      <w:r>
        <w:rPr>
          <w:i w:val="0"/>
          <w:iCs w:val="0"/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Cs w:val="0"/>
          <w:i w:val="0"/>
          <w:sz w:val="26"/>
          <w:szCs w:val="26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lang w:eastAsia="ru-RU"/>
        </w:rPr>
        <w:t xml:space="preserve">расположенных в многоквартирных домах и (или) на прилегающих к ним территориях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sz w:val="26"/>
          <w:szCs w:val="26"/>
        </w:rPr>
        <w:t xml:space="preserve">осуществляют свою деятельность по розничной продаже алкогольной продукции 90 юридических лиц и индивидуальных предпринимателей, реализующих пиво и пивные напитки.</w:t>
      </w:r>
      <w:r>
        <w:rPr>
          <w:i w:val="0"/>
          <w:iCs w:val="0"/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Cs w:val="0"/>
          <w:i w:val="0"/>
          <w:sz w:val="26"/>
          <w:szCs w:val="26"/>
        </w:rPr>
      </w:pPr>
      <w:r>
        <w:rPr>
          <w:rFonts w:ascii="Times New Roman" w:hAnsi="Times New Roman"/>
          <w:i w:val="0"/>
          <w:iCs w:val="0"/>
          <w:sz w:val="26"/>
          <w:szCs w:val="26"/>
        </w:rPr>
        <w:t xml:space="preserve">В среднем за </w:t>
      </w:r>
      <w:r>
        <w:rPr>
          <w:rFonts w:ascii="Times New Roman" w:hAnsi="Times New Roman"/>
          <w:i w:val="0"/>
          <w:iCs w:val="0"/>
          <w:sz w:val="26"/>
          <w:szCs w:val="26"/>
        </w:rPr>
        <w:t xml:space="preserve">1</w:t>
      </w:r>
      <w:r>
        <w:rPr>
          <w:rFonts w:ascii="Times New Roman" w:hAnsi="Times New Roman"/>
          <w:i w:val="0"/>
          <w:iCs w:val="0"/>
          <w:sz w:val="26"/>
          <w:szCs w:val="26"/>
        </w:rPr>
        <w:t xml:space="preserve"> час реализуется </w:t>
      </w:r>
      <w:r>
        <w:rPr>
          <w:rFonts w:ascii="Times New Roman" w:hAnsi="Times New Roman"/>
          <w:i w:val="0"/>
          <w:iCs w:val="0"/>
          <w:sz w:val="26"/>
          <w:szCs w:val="26"/>
        </w:rPr>
        <w:t xml:space="preserve">2</w:t>
      </w:r>
      <w:r>
        <w:rPr>
          <w:rFonts w:ascii="Times New Roman" w:hAnsi="Times New Roman"/>
          <w:i w:val="0"/>
          <w:iCs w:val="0"/>
          <w:sz w:val="26"/>
          <w:szCs w:val="26"/>
        </w:rPr>
        <w:t xml:space="preserve"> л. крепкой алкогольной продукции </w:t>
      </w:r>
      <w:r>
        <w:rPr>
          <w:rFonts w:ascii="Times New Roman" w:hAnsi="Times New Roman"/>
          <w:i w:val="0"/>
          <w:iCs w:val="0"/>
          <w:sz w:val="26"/>
          <w:szCs w:val="26"/>
        </w:rPr>
        <w:br w:type="textWrapping" w:clear="all"/>
        <w:t xml:space="preserve">по средней цене за 1 л. 600 руб. и </w:t>
      </w:r>
      <w:r>
        <w:rPr>
          <w:rFonts w:ascii="Times New Roman" w:hAnsi="Times New Roman"/>
          <w:i w:val="0"/>
          <w:iCs w:val="0"/>
          <w:sz w:val="26"/>
          <w:szCs w:val="26"/>
        </w:rPr>
        <w:t xml:space="preserve">3 </w:t>
      </w:r>
      <w:r>
        <w:rPr>
          <w:rFonts w:ascii="Times New Roman" w:hAnsi="Times New Roman"/>
          <w:i w:val="0"/>
          <w:iCs w:val="0"/>
          <w:sz w:val="26"/>
          <w:szCs w:val="26"/>
        </w:rPr>
        <w:t xml:space="preserve">л. пива и пивных напитков по средней цене </w:t>
      </w:r>
      <w:r>
        <w:rPr>
          <w:rFonts w:ascii="Times New Roman" w:hAnsi="Times New Roman"/>
          <w:i w:val="0"/>
          <w:iCs w:val="0"/>
          <w:sz w:val="26"/>
          <w:szCs w:val="26"/>
        </w:rPr>
        <w:br w:type="textWrapping" w:clear="all"/>
        <w:t xml:space="preserve">за 1 л. 300 руб.</w:t>
      </w:r>
      <w:r>
        <w:rPr>
          <w:i w:val="0"/>
          <w:iCs w:val="0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Возможная упущенная выгода (выручка) хозяйствующих субъектов, попадающих в зону действия ограничений, при полном запрете (12 часов) на продажу алкогольных напитков составит: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pacing w:val="-2"/>
          <w:sz w:val="26"/>
          <w:szCs w:val="26"/>
        </w:rPr>
      </w:pP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- для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хозяйствующих субъектов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, реализующих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алкогольн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ую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продукци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pacing w:val="-2"/>
          <w:sz w:val="26"/>
          <w:szCs w:val="26"/>
        </w:rPr>
      </w:pP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24 л.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*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600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руб.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*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30 дн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*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69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хозяйствующих субъектов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=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29 808,0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тыс. руб. в месяц;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pacing w:val="-2"/>
          <w:sz w:val="26"/>
          <w:szCs w:val="26"/>
        </w:rPr>
      </w:pP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- для индивидуальных предпринимателей, реализующих пиво и пивные напитки: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pacing w:val="-2"/>
          <w:sz w:val="26"/>
          <w:szCs w:val="26"/>
        </w:rPr>
      </w:pP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36 л.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*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300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руб.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*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30 дн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*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90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хозяйствующих субъектов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=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29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160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тыс. руб. в месяц.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 w:val="0"/>
          <w:i w:val="0"/>
          <w:spacing w:val="-2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pacing w:val="-2"/>
          <w:sz w:val="26"/>
          <w:szCs w:val="26"/>
          <w:lang w:eastAsia="ru-RU"/>
        </w:rPr>
        <w:t xml:space="preserve">Расчет упущенной выгоды (выручки) 9</w:t>
      </w:r>
      <w:r>
        <w:rPr>
          <w:rFonts w:ascii="Times New Roman" w:hAnsi="Times New Roman" w:eastAsia="Times New Roman" w:cs="Times New Roman"/>
          <w:i w:val="0"/>
          <w:iCs w:val="0"/>
          <w:spacing w:val="-2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i w:val="0"/>
          <w:iCs w:val="0"/>
          <w:spacing w:val="-2"/>
          <w:sz w:val="26"/>
          <w:szCs w:val="26"/>
          <w:lang w:eastAsia="ru-RU"/>
        </w:rPr>
        <w:t xml:space="preserve"> организациями и индивидуальными предпринимателями из расчета полного запрета продажи алкогольной продукции за месяц – </w:t>
      </w:r>
      <w:r>
        <w:rPr>
          <w:rFonts w:ascii="Times New Roman" w:hAnsi="Times New Roman" w:eastAsia="Times New Roman" w:cs="Times New Roman"/>
          <w:b/>
          <w:i w:val="0"/>
          <w:iCs w:val="0"/>
          <w:spacing w:val="-2"/>
          <w:sz w:val="26"/>
          <w:szCs w:val="26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pacing w:val="-2"/>
          <w:sz w:val="26"/>
          <w:szCs w:val="26"/>
          <w:lang w:eastAsia="ru-RU"/>
        </w:rPr>
        <w:t xml:space="preserve">8 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pacing w:val="-2"/>
          <w:sz w:val="26"/>
          <w:szCs w:val="26"/>
          <w:lang w:eastAsia="ru-RU"/>
        </w:rPr>
        <w:t xml:space="preserve">968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pacing w:val="-2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pacing w:val="-2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pacing w:val="-2"/>
          <w:sz w:val="26"/>
          <w:szCs w:val="26"/>
          <w:lang w:eastAsia="ru-RU"/>
        </w:rPr>
        <w:t xml:space="preserve"> тыс. руб.</w:t>
      </w:r>
      <w:r>
        <w:rPr>
          <w:i w:val="0"/>
          <w:iCs w:val="0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 w:val="0"/>
          <w:i w:val="0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lang w:eastAsia="ru-RU"/>
        </w:rPr>
        <w:t xml:space="preserve">Учитывая, что в настоящее время запрет розничной продажи алкогольной продукции на территории Белгородской области установлен с 22.00 до 10.00 часов,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lang w:eastAsia="ru-RU"/>
        </w:rPr>
        <w:t xml:space="preserve">апрет розничной продажи алкогольной продукции на территории Белгородской области в 3 часа устанавливается на постоянной основе.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lang w:eastAsia="ru-RU"/>
        </w:rPr>
      </w:r>
      <w:r>
        <w:rPr>
          <w:i w:val="0"/>
          <w:iCs w:val="0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lang w:eastAsia="ru-RU"/>
        </w:rPr>
        <w:t xml:space="preserve">В свою очередь, устанавливаемый проектом закона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6"/>
          <w:szCs w:val="26"/>
          <w:lang w:eastAsia="ru-RU"/>
        </w:rPr>
        <w:t xml:space="preserve">запрет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lang w:eastAsia="ru-RU"/>
        </w:rPr>
        <w:t xml:space="preserve"> розничной продажи алкогольной продукции с 22.00 до 10.00 часов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lang w:eastAsia="ru-RU"/>
        </w:rPr>
        <w:t xml:space="preserve"> повлечет </w:t>
      </w:r>
      <w:r>
        <w:rPr>
          <w:rFonts w:ascii="Times New Roman" w:hAnsi="Times New Roman" w:eastAsia="Times New Roman"/>
          <w:i w:val="0"/>
          <w:iCs w:val="0"/>
          <w:spacing w:val="-6"/>
          <w:sz w:val="26"/>
          <w:szCs w:val="26"/>
          <w:lang w:eastAsia="ru-RU"/>
        </w:rPr>
        <w:t xml:space="preserve">упущенную выгоду </w:t>
      </w:r>
      <w:r>
        <w:rPr>
          <w:rFonts w:ascii="Times New Roman" w:hAnsi="Times New Roman" w:eastAsia="Times New Roman"/>
          <w:i w:val="0"/>
          <w:iCs w:val="0"/>
          <w:spacing w:val="-6"/>
          <w:sz w:val="26"/>
          <w:szCs w:val="26"/>
          <w:lang w:eastAsia="ru-RU"/>
        </w:rPr>
        <w:t xml:space="preserve">90</w:t>
      </w:r>
      <w:r>
        <w:rPr>
          <w:rFonts w:ascii="Times New Roman" w:hAnsi="Times New Roman" w:eastAsia="Times New Roman"/>
          <w:i w:val="0"/>
          <w:iCs w:val="0"/>
          <w:spacing w:val="-6"/>
          <w:sz w:val="26"/>
          <w:szCs w:val="26"/>
          <w:lang w:eastAsia="ru-RU"/>
        </w:rPr>
        <w:t xml:space="preserve"> организаций и индивидуальных предпринимателей в размере</w:t>
      </w:r>
      <w:r>
        <w:rPr>
          <w:rFonts w:ascii="Times New Roman" w:hAnsi="Times New Roman" w:eastAsia="Times New Roman"/>
          <w:i w:val="0"/>
          <w:iCs w:val="0"/>
          <w:spacing w:val="-6"/>
          <w:sz w:val="26"/>
          <w:szCs w:val="26"/>
          <w:lang w:eastAsia="ru-RU"/>
        </w:rPr>
        <w:t xml:space="preserve">  </w:t>
      </w:r>
      <w:r>
        <w:rPr>
          <w:rFonts w:ascii="Times New Roman" w:hAnsi="Times New Roman" w:eastAsia="Times New Roman"/>
          <w:b/>
          <w:bCs/>
          <w:i w:val="0"/>
          <w:iCs w:val="0"/>
          <w:spacing w:val="-6"/>
          <w:sz w:val="26"/>
          <w:szCs w:val="26"/>
          <w:lang w:eastAsia="ru-RU"/>
        </w:rPr>
        <w:t xml:space="preserve">14 742,0 </w:t>
      </w:r>
      <w:r>
        <w:rPr>
          <w:rFonts w:ascii="Times New Roman" w:hAnsi="Times New Roman" w:eastAsia="Times New Roman"/>
          <w:b/>
          <w:bCs/>
          <w:i w:val="0"/>
          <w:iCs w:val="0"/>
          <w:spacing w:val="-6"/>
          <w:sz w:val="26"/>
          <w:szCs w:val="26"/>
          <w:lang w:eastAsia="ru-RU"/>
        </w:rPr>
        <w:t xml:space="preserve">тыс. руб</w:t>
      </w:r>
      <w:r>
        <w:rPr>
          <w:rFonts w:ascii="Times New Roman" w:hAnsi="Times New Roman" w:eastAsia="Times New Roman"/>
          <w:i w:val="0"/>
          <w:iCs w:val="0"/>
          <w:spacing w:val="-6"/>
          <w:sz w:val="26"/>
          <w:szCs w:val="26"/>
          <w:lang w:eastAsia="ru-RU"/>
        </w:rPr>
        <w:t xml:space="preserve">. в месяц.</w:t>
      </w:r>
      <w:r>
        <w:rPr>
          <w:i w:val="0"/>
          <w:iCs w:val="0"/>
          <w:sz w:val="26"/>
          <w:szCs w:val="26"/>
        </w:rPr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4.3. Обоснование выбора предлагаемого способа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Предпочтительным вариантом решения выявленной проблемы является принятие проекта закона Белгородской области «О внесении изменений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  <w:t xml:space="preserve">в закон Белгородской области «О регулировании отдельных вопросов 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сфере розничной продажи алкогольной продукции».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Предлагаемое время запрета розничной продажи алкогольной продукции с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22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.00 часов до 1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.00 часов является оптимальным в целях исключения нарушения общественного порядка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Согласно расчетным данным, ограничение реализация алкогольной продукции с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22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.00 до 1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.00 часов повлечет наименьший размер упущенной выгоды (выручки) хозяйствующих субъектов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практически 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раза: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58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968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тыс. руб. (полный запрет) -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14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742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тыс. руб.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=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44 226,0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тыс. рублей.</w:t>
      </w:r>
      <w:r>
        <w:rPr>
          <w:rFonts w:ascii="Times New Roman" w:hAnsi="Times New Roman" w:eastAsia="Times New Roman"/>
          <w:b/>
          <w:bCs/>
          <w:i/>
          <w:sz w:val="28"/>
          <w:szCs w:val="28"/>
          <w:lang w:eastAsia="ru-RU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Предлагаемый запрет коснется только тех хозяйствующих субъектов, которые расположены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в многоквартирных домах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и на прилегающих к ним территориях, в которых осуществляется розничная продажа алкогольной продукции при оказании услуг общественного питания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5"/>
        <w:gridCol w:w="3402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5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Организации, осуществляющие розничную продажу алкогольной продукции, и индивидуальные предприниматели, осуществляющие розничную продажу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расположенных в многоквартирных домах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и на прилегающих к ним территориях, в которых осуществляется розничная продажа алкогольной продукции при оказании услуг общественного питания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организаций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и индивидуальных предпринимателя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5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Численность жителей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, в том числе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многоквартирных домов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более 700 тыс. чел. жителей из 80 многоквартирных домов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544"/>
        <w:gridCol w:w="297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расходов/доходов,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издержек/выгод,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Организации, осуществляющие розничную продажу алкогольной продукции, и индивидуальные предприниматели, осуществляющие розничную продажу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расположенных в многоквартирных домах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и на прилегающих к ним территориях, в которых осуществляется розничная продажа алкогольной продукции при оказании услуг общественного питания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Ограничение 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br/>
              <w:t xml:space="preserve">к ним территориях, с 22.00 часов до 10.00 часов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Исполнение обязанностей в соответствии с проектом закона области может привести к возникновению упущенной выгоды (выручки) в размере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742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тыс. рублей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br/>
              <w:t xml:space="preserve">в месяц.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Численность жителей, в том числе многоквартирных домов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Преимущества: </w:t>
            </w:r>
            <w:r/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 повышение уровня безопасности жителей, исключение случаев нарушения общественного порядка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0"/>
          <w:szCs w:val="20"/>
        </w:rPr>
      </w:pPr>
      <w:r>
        <w:rPr>
          <w:rFonts w:ascii="Times New Roman" w:hAnsi="Times New Roman" w:eastAsia="Calibri" w:cs="Times New Roman"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4110"/>
        <w:gridCol w:w="226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Региональный государственный контроль (надзор) в области розничной продажи алкогольной и спиртосодержащей продукции будет осуществляться департаментом в рамках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Региональный государственный контроль (надзор) в области розничной продажи алкогольной и спиртосодержащей продукции будет осуществляться департаментом в рамках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области:*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4110"/>
        <w:gridCol w:w="2268"/>
      </w:tblGrid>
      <w:tr>
        <w:trPr/>
        <w:tc>
          <w:tcPr>
            <w:tcW w:w="3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/>
        <w:tc>
          <w:tcPr>
            <w:tcW w:w="328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Расходов (дополнительных поступлений) консолидированного бюджета Белгородской области не предусмотрено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328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Расходов (дополнительных поступлений) консолидированного бюджета Белгородской области не предусмотрено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Предусмотрено о</w:t>
      </w:r>
      <w:r>
        <w:rPr>
          <w:rFonts w:ascii="Times New Roman" w:hAnsi="Times New Roman" w:eastAsia="Calibri" w:cs="Times New Roman"/>
          <w:sz w:val="26"/>
          <w:szCs w:val="26"/>
        </w:rPr>
        <w:t xml:space="preserve">граничение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времени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с 22.00 часов до 10.00 часов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0"/>
          <w:szCs w:val="20"/>
        </w:rPr>
      </w:pPr>
      <w:r>
        <w:rPr>
          <w:rFonts w:ascii="Times New Roman" w:hAnsi="Times New Roman" w:eastAsia="Calibri" w:cs="Times New Roman"/>
          <w:bCs/>
          <w:sz w:val="20"/>
          <w:szCs w:val="20"/>
        </w:rPr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843"/>
        <w:gridCol w:w="48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избранного способа достижения целей регулирования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Нарушение времени запрета розничной продажи алкогольной продукции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Сведения о времени продажи алкогольной продукции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организациями находятся в распоряжении министерства сельского хозяйства и продовольствия Белгородской области. Нарушение времени розничной продажи алкогольной продукции влечет административную ответственность в соответствии с действующим законодательством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мероприятия:*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1843"/>
        <w:gridCol w:w="2126"/>
        <w:gridCol w:w="1418"/>
        <w:gridCol w:w="141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Объем финансиро- 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Источники финансиро- 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  <w:t xml:space="preserve">Размещение информации в СМИ о принятии закона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сентябрь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– март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202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Осведомленность подконтрольных субъектов о порядке определения устанавливаемых ограничений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  <w:t xml:space="preserve">Учет субъектов в государственной информационной системе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постоянно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Проведение контрольных (надзорных) мероприятий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  <w:t xml:space="preserve">Подготовка ежегодного доклада о состоянии регионального государственного надзора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ежегодно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Профилактика, минимизация наступления рисков причинения вреда (ущерба)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  <w:t xml:space="preserve">Консультирование (разъяснение по вопросам, связанным с организацией и осуществлением регионального государственного контроля (надзора)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по мере необходимости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Профилактика, минимизация наступления рисков причинения вреда (ущерба)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/>
      <w:bookmarkStart w:id="1" w:name="_GoBack"/>
      <w:r/>
      <w:bookmarkEnd w:id="1"/>
      <w:r/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регулирования:*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94"/>
        <w:gridCol w:w="1989"/>
        <w:gridCol w:w="2263"/>
        <w:gridCol w:w="2693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в предложенном регулировании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Количественное значение ключевых показателей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достижения целей правового регулирования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(не более 5 лет)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Количество выявленных нарушений продажи алкогольной продукции на территориях на установленных законом территориях в запрещенное время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не более 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Анализ количества выявленных нарушений обязательных требований за истекший период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май 202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5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1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марта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202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279"/>
        <w:gridCol w:w="466"/>
        <w:gridCol w:w="1385"/>
        <w:gridCol w:w="457"/>
        <w:gridCol w:w="457"/>
        <w:gridCol w:w="1810"/>
      </w:tblGrid>
      <w:tr>
        <w:trPr>
          <w:trHeight w:val="41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>
          <w:trHeight w:val="67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Министр сельского хозяйства                               и продовольствия Белгородской области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А.А. Антоненко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(инициалы, фамилия)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(дата )</w:t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(подпись)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7" w:right="566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eastAsia="Arial" w:cs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34"/>
    <w:next w:val="634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Название Знак"/>
    <w:basedOn w:val="644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basedOn w:val="644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44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44"/>
    <w:uiPriority w:val="99"/>
  </w:style>
  <w:style w:type="paragraph" w:styleId="687">
    <w:name w:val="Caption"/>
    <w:basedOn w:val="634"/>
    <w:next w:val="63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9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0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1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2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3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4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2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4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6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7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6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7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8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9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0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1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0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1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2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3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4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634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44"/>
    <w:uiPriority w:val="99"/>
    <w:unhideWhenUsed/>
    <w:rPr>
      <w:vertAlign w:val="superscript"/>
    </w:rPr>
  </w:style>
  <w:style w:type="paragraph" w:styleId="819">
    <w:name w:val="endnote text"/>
    <w:basedOn w:val="634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44"/>
    <w:uiPriority w:val="99"/>
    <w:semiHidden/>
    <w:unhideWhenUsed/>
    <w:rPr>
      <w:vertAlign w:val="superscript"/>
    </w:rPr>
  </w:style>
  <w:style w:type="paragraph" w:styleId="822">
    <w:name w:val="toc 1"/>
    <w:basedOn w:val="634"/>
    <w:next w:val="634"/>
    <w:uiPriority w:val="39"/>
    <w:unhideWhenUsed/>
    <w:pPr>
      <w:spacing w:after="57"/>
    </w:pPr>
  </w:style>
  <w:style w:type="paragraph" w:styleId="823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4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5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6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7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8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9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30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34"/>
    <w:next w:val="634"/>
    <w:uiPriority w:val="99"/>
    <w:unhideWhenUsed/>
    <w:pPr>
      <w:spacing w:after="0"/>
    </w:pPr>
  </w:style>
  <w:style w:type="paragraph" w:styleId="83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6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7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8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39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40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1" w:customStyle="1">
    <w:name w:val="Знак"/>
    <w:basedOn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EDE321C9382906F26B545A4CD113F9B5EEC51573B6E7B17283A4D4460144FC5ABB5B895C4F81FB09B9CFC7356Eu7rA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83</cp:revision>
  <dcterms:created xsi:type="dcterms:W3CDTF">2022-04-27T14:18:00Z</dcterms:created>
  <dcterms:modified xsi:type="dcterms:W3CDTF">2024-08-09T12:30:00Z</dcterms:modified>
</cp:coreProperties>
</file>