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 xml:space="preserve">Информационное сообщение</w:t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shd w:val="clear" w:color="auto" w:fill="bfbfbf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</w:t>
      </w:r>
      <w:r>
        <w:rPr>
          <w:b/>
        </w:rPr>
        <w:t xml:space="preserve">министерство автомобильных дорог и транспорта Белгородской области</w:t>
      </w:r>
      <w:r/>
    </w:p>
    <w:p>
      <w:pPr>
        <w:jc w:val="center"/>
        <w:shd w:val="clear" w:color="auto" w:fill="bfbfbf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</w:t>
      </w:r>
      <w:r>
        <w:rPr>
          <w:b/>
        </w:rPr>
        <w:t xml:space="preserve">начале </w:t>
      </w:r>
      <w:r>
        <w:rPr>
          <w:b/>
        </w:rPr>
        <w:t xml:space="preserve">публичных консультаций</w:t>
      </w:r>
      <w:r>
        <w:rPr>
          <w:b/>
        </w:rPr>
        <w:t xml:space="preserve"> </w:t>
      </w:r>
      <w:r>
        <w:rPr>
          <w:b/>
        </w:rPr>
        <w:t xml:space="preserve">в целях оценки </w:t>
      </w:r>
      <w:r>
        <w:rPr>
          <w:b/>
        </w:rPr>
        <w:br/>
        <w:t xml:space="preserve">фактического </w:t>
      </w:r>
      <w:r>
        <w:rPr>
          <w:b/>
        </w:rPr>
        <w:t xml:space="preserve">воздействия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rPr>
          <w:sz w:val="24"/>
          <w:szCs w:val="24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Нормативный правовой а</w:t>
      </w:r>
      <w:r>
        <w:rPr>
          <w:b/>
        </w:rPr>
        <w:t xml:space="preserve">кт: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 апреля 2005 года № 89-пп «Об утверждении Правил установления и использования придорожных полос территориальных автомобильных дорог общего пользования Белгородской области»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</w:t>
      </w:r>
      <w:r>
        <w:rPr>
          <w:b/>
        </w:rPr>
        <w:t xml:space="preserve">нормативного правового </w:t>
      </w:r>
      <w:r>
        <w:rPr>
          <w:b/>
        </w:rPr>
        <w:t xml:space="preserve">акта:</w:t>
      </w:r>
      <w:r>
        <w:t xml:space="preserve"> </w:t>
      </w:r>
      <w:r>
        <w:t xml:space="preserve">министерство автомобильных дорог и транспорта Белгородской области</w:t>
      </w:r>
      <w:r>
        <w:rPr>
          <w:b/>
        </w:rPr>
        <w:t xml:space="preserve"> </w:t>
      </w:r>
      <w:r/>
    </w:p>
    <w:p>
      <w:pPr>
        <w:jc w:val="both"/>
        <w:shd w:val="clear" w:color="auto" w:fill="e6e6e6"/>
        <w:rPr>
          <w:b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</w:t>
      </w:r>
      <w:r>
        <w:rPr>
          <w:b w:val="0"/>
          <w:bCs w:val="0"/>
          <w:highlight w:val="none"/>
        </w:rPr>
        <w:t xml:space="preserve">начало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14.08.2024 г.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окончание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10.0</w:t>
      </w:r>
      <w:r>
        <w:rPr>
          <w:b w:val="0"/>
          <w:bCs w:val="0"/>
          <w:highlight w:val="none"/>
        </w:rPr>
        <w:t xml:space="preserve">9.2024 г.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</w:t>
      </w:r>
      <w:r>
        <w:rPr>
          <w:b/>
        </w:rPr>
        <w:t xml:space="preserve"> </w:t>
      </w:r>
      <w:r>
        <w:t xml:space="preserve">Направление по электронной почте на адрес kiktenko_ev</w:t>
      </w:r>
      <w:bookmarkStart w:id="3" w:name="_Hlk130301692"/>
      <w:r>
        <w:rPr>
          <w:u w:val="single"/>
        </w:rPr>
        <w:t xml:space="preserve">@</w:t>
      </w:r>
      <w:r>
        <w:rPr>
          <w:u w:val="single"/>
          <w:lang w:val="en-US"/>
        </w:rPr>
        <w:t xml:space="preserve">belregion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bookmarkEnd w:id="3"/>
      <w: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Киктенко Евгений Викторович</w:t>
      </w:r>
      <w:r>
        <w:t xml:space="preserve">, заместитель начальника отдела бюджетного финансирования и правового обеспечения министерства автомобильных дорог и транспорта Белгородской области, тел. 8 (4722) 33-52-</w:t>
      </w:r>
      <w:r>
        <w:t xml:space="preserve">47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4" w:name="_GoBack"/>
      <w:r/>
      <w:bookmarkEnd w:id="4"/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sz w:val="24"/>
          <w:szCs w:val="24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 w:val="0"/>
          <w:bCs w:val="0"/>
        </w:rPr>
        <w:t xml:space="preserve">1)</w:t>
      </w:r>
      <w:r>
        <w:rPr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 апреля 2005 года № 89-пп </w:t>
        <w:br/>
        <w:t xml:space="preserve">«Об утверждении Правил установления и использования придорожных полос территориальных автомобильных дорог общего пользования Белгородской области»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shd w:val="clear" w:color="auto" w:fill="e6e6e6"/>
        <w:rPr>
          <w:sz w:val="24"/>
          <w:szCs w:val="24"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 w:val="0"/>
          <w:bCs w:val="0"/>
          <w:sz w:val="24"/>
          <w:szCs w:val="24"/>
        </w:rPr>
        <w:t xml:space="preserve">2)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сводный отчет о результатах проведения оценки об фактическо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 воздействи</w:t>
      </w:r>
      <w:r>
        <w:rPr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 апреля 2005 года № 89-пп «Об утверждении Правил установления и использования придорожных полос территориальных автомобильных дорог общего пользования Белгородской области»</w:t>
      </w:r>
      <w:r>
        <w:rPr>
          <w:bCs/>
          <w:sz w:val="24"/>
          <w:szCs w:val="24"/>
        </w:rPr>
        <w:t xml:space="preserve">;</w:t>
      </w:r>
      <w:r>
        <w:rPr>
          <w:sz w:val="24"/>
          <w:szCs w:val="24"/>
          <w:highlight w:val="none"/>
        </w:rPr>
        <w:t xml:space="preserve"> </w:t>
      </w:r>
      <w:r/>
    </w:p>
    <w:p>
      <w:pPr>
        <w:jc w:val="both"/>
        <w:shd w:val="clear" w:color="auto" w:fill="e6e6e6"/>
        <w:rPr>
          <w:sz w:val="24"/>
          <w:szCs w:val="24"/>
          <w:highlight w:val="none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4"/>
          <w:szCs w:val="24"/>
          <w:highlight w:val="none"/>
        </w:rPr>
        <w:t xml:space="preserve">3) расчет затрат.</w:t>
      </w:r>
      <w:r>
        <w:rPr>
          <w:sz w:val="24"/>
          <w:szCs w:val="24"/>
          <w:highlight w:val="none"/>
        </w:rPr>
      </w:r>
    </w:p>
    <w:p>
      <w:pPr>
        <w:jc w:val="both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Перечень вопросов для участников публичных консультаций по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 апреля 2005 года № 89-пп </w:t>
        <w:br/>
        <w:t xml:space="preserve">«Об утверждении Правил установления и использования придорожных полос территориальных автомобильных дорог общего пользования Белгородской области»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highlight w:val="none"/>
        </w:rPr>
      </w:pPr>
      <w:r>
        <w:t xml:space="preserve">Пожалуйста, заполните и направьте данную форму по электронной почте </w:t>
      </w:r>
      <w:r>
        <w:br/>
      </w:r>
      <w:r>
        <w:t xml:space="preserve">на адрес</w:t>
      </w:r>
      <w:r>
        <w:t xml:space="preserve"> </w:t>
      </w:r>
      <w:r>
        <w:t xml:space="preserve">kiktenko_ev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belregion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r>
        <w:rPr>
          <w:b/>
          <w:bCs/>
        </w:rPr>
        <w:t xml:space="preserve">не поздне</w:t>
      </w:r>
      <w:r>
        <w:rPr>
          <w:b/>
          <w:bCs/>
          <w:highlight w:val="none"/>
        </w:rPr>
        <w:t xml:space="preserve">е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none"/>
        </w:rPr>
        <w:t xml:space="preserve"> 10 сентября</w:t>
      </w:r>
      <w:r>
        <w:rPr>
          <w:b/>
          <w:bCs/>
          <w:highlight w:val="none"/>
        </w:rPr>
        <w:t xml:space="preserve"> 202</w:t>
      </w:r>
      <w:r>
        <w:rPr>
          <w:b/>
          <w:bCs/>
          <w:highlight w:val="none"/>
        </w:rPr>
        <w:t xml:space="preserve">4</w:t>
      </w:r>
      <w:r>
        <w:rPr>
          <w:b/>
          <w:bCs/>
          <w:highlight w:val="none"/>
        </w:rPr>
        <w:t xml:space="preserve"> г</w:t>
      </w:r>
      <w:r>
        <w:rPr>
          <w:b/>
          <w:bCs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t xml:space="preserve">          </w:t>
      </w:r>
      <w:r>
        <w:t xml:space="preserve">   </w:t>
      </w:r>
      <w:r>
        <w:t xml:space="preserve"> </w:t>
      </w:r>
      <w:r>
        <w:t xml:space="preserve">    </w:t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Контактная информация</w:t>
      </w:r>
      <w:r/>
    </w:p>
    <w:p>
      <w:pPr>
        <w:jc w:val="both"/>
      </w:pPr>
      <w:r/>
      <w:r/>
    </w:p>
    <w:p>
      <w:pPr>
        <w:jc w:val="both"/>
      </w:pPr>
      <w:r>
        <w:t xml:space="preserve">Название организации: _______________________________________________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Сфер</w:t>
      </w:r>
      <w:r>
        <w:t xml:space="preserve">а</w:t>
      </w:r>
      <w:r>
        <w:t xml:space="preserve"> деятельности организации: ______________________________________</w:t>
      </w:r>
      <w:r>
        <w:t xml:space="preserve">________________</w:t>
      </w:r>
      <w:r/>
    </w:p>
    <w:p>
      <w:pPr>
        <w:jc w:val="both"/>
      </w:pPr>
      <w:r>
        <w:t xml:space="preserve">Ф.И.О. контактного лица: 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Контактный телефон:</w:t>
      </w:r>
      <w:r>
        <w:t xml:space="preserve"> </w:t>
      </w:r>
      <w:r>
        <w:t xml:space="preserve">________________________________________________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Электронный адрес: _________________________________________________</w:t>
      </w:r>
      <w:r>
        <w:t xml:space="preserve">_________________</w:t>
      </w:r>
      <w:r/>
    </w:p>
    <w:p>
      <w:pPr>
        <w:jc w:val="both"/>
      </w:pPr>
      <w:r/>
      <w:r/>
    </w:p>
    <w:p>
      <w:pPr>
        <w:ind w:firstLine="708"/>
        <w:jc w:val="both"/>
      </w:pPr>
      <w: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</w:pPr>
      <w: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</w:pPr>
      <w:r>
        <w:t xml:space="preserve">3. Достигнуты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</w:pPr>
      <w: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</w:pPr>
      <w: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</w:pPr>
      <w:r>
        <w:t xml:space="preserve">6. Существуют ли альтернативные (менее затратные и (или) более эффективные) способы достижения целей регулирования?</w:t>
      </w:r>
      <w:r/>
    </w:p>
    <w:p>
      <w:pPr>
        <w:ind w:firstLine="708"/>
        <w:jc w:val="both"/>
      </w:pPr>
      <w: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</w:pPr>
      <w: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</w:pPr>
      <w: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p>
      <w:pPr>
        <w:ind w:firstLine="708"/>
        <w:jc w:val="both"/>
      </w:pPr>
      <w: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/>
  </w:p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4"/>
    <w:next w:val="884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5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4"/>
    <w:next w:val="884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5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5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5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5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5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5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5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88"/>
    <w:uiPriority w:val="99"/>
  </w:style>
  <w:style w:type="character" w:styleId="738">
    <w:name w:val="Footer Char"/>
    <w:basedOn w:val="885"/>
    <w:link w:val="890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0"/>
    <w:uiPriority w:val="99"/>
  </w:style>
  <w:style w:type="table" w:styleId="741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rPr>
      <w:sz w:val="24"/>
      <w:szCs w:val="24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4"/>
    <w:link w:val="892"/>
    <w:pPr>
      <w:tabs>
        <w:tab w:val="center" w:pos="4677" w:leader="none"/>
        <w:tab w:val="right" w:pos="9355" w:leader="none"/>
      </w:tabs>
    </w:pPr>
  </w:style>
  <w:style w:type="character" w:styleId="889">
    <w:name w:val="page number"/>
    <w:basedOn w:val="885"/>
  </w:style>
  <w:style w:type="paragraph" w:styleId="890">
    <w:name w:val="Footer"/>
    <w:basedOn w:val="884"/>
    <w:pPr>
      <w:tabs>
        <w:tab w:val="center" w:pos="4677" w:leader="none"/>
        <w:tab w:val="right" w:pos="9355" w:leader="none"/>
      </w:tabs>
    </w:p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link w:val="888"/>
    <w:rPr>
      <w:sz w:val="24"/>
      <w:szCs w:val="24"/>
      <w:lang w:bidi="ar-SA"/>
    </w:rPr>
  </w:style>
  <w:style w:type="paragraph" w:styleId="893" w:customStyle="1">
    <w:name w:val="ConsPlusNormal"/>
    <w:link w:val="896"/>
    <w:pPr>
      <w:widowControl w:val="off"/>
    </w:pPr>
    <w:rPr>
      <w:rFonts w:ascii="Arial" w:hAnsi="Arial" w:cs="Arial"/>
    </w:rPr>
  </w:style>
  <w:style w:type="paragraph" w:styleId="894">
    <w:name w:val="Balloon Text"/>
    <w:basedOn w:val="884"/>
    <w:link w:val="895"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link w:val="894"/>
    <w:rPr>
      <w:rFonts w:ascii="Segoe UI" w:hAnsi="Segoe UI" w:cs="Segoe UI"/>
      <w:sz w:val="18"/>
      <w:szCs w:val="18"/>
    </w:rPr>
  </w:style>
  <w:style w:type="character" w:styleId="896" w:customStyle="1">
    <w:name w:val="ConsPlusNormal Знак"/>
    <w:link w:val="893"/>
    <w:rPr>
      <w:rFonts w:ascii="Arial" w:hAnsi="Arial" w:cs="Arial"/>
      <w:lang w:val="ru-RU" w:eastAsia="ru-RU" w:bidi="ar-SA"/>
    </w:rPr>
  </w:style>
  <w:style w:type="paragraph" w:styleId="897">
    <w:name w:val="List Paragraph"/>
    <w:basedOn w:val="88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11</cp:revision>
  <dcterms:created xsi:type="dcterms:W3CDTF">2024-06-03T07:19:00Z</dcterms:created>
  <dcterms:modified xsi:type="dcterms:W3CDTF">2024-08-14T12:58:15Z</dcterms:modified>
</cp:coreProperties>
</file>