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Итоги проведения оценки регулирующего воздействия в Белгородской области за 2023 год.</w:t>
      </w:r>
      <w:r/>
    </w:p>
    <w:p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ind w:left="0" w:right="0" w:firstLine="708"/>
        <w:jc w:val="both"/>
        <w:spacing w:before="0" w:after="240" w:line="259" w:lineRule="auto"/>
        <w:rPr>
          <w:rFonts w:ascii="Times New Roman" w:hAnsi="Times New Roman" w:eastAsia="Arial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В соответствии с Положением о проведении оценки регулирующего воздействия нормативных правовых актов Белгородской области в 2023 году проведены: оценка регулирующего воздействия по 38 проектам нормативных правовых актов области, экспертиза по 3 действующим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 нормативным правовым актам и оценка фактического воздействия по 7 нормативным правовым актам области. Кроме того, экспертами области принято участие в ОРВ по 86 проектам федеральных нормативных правовых актов. На уровне муниципальных районов </w:t>
        <w:br/>
        <w:t xml:space="preserve">и городских о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кругов в 2023 году подготовлены заключения об ОРВ по 149 проектам муниципальных нормативных правовых актов, что более чем в два раза превышает показатели 2022 года (62 проекта НПА), в рамках проведения экспертизы подготовлено 38 экспертных заключений по де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йствующим муниципальным нормативным правовым актам.                                                                                                  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ab/>
        <w:t xml:space="preserve">По итогам проведенной оценки регулирующего воздействия за 2023 год: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br/>
        <w:tab/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- в 9 проектов нормативных правовых актов внесены корректировки, учитывающие предложения участников публичных консультаций;</w:t>
        <w:br/>
        <w:tab/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- по 3 проектам корректировки внесены после подготовки уполномоченным органом – министерством экономического развития и промышленности области заключения об ОРВ с выводом о необходимости внесения изменений в проект нормативного правового акта;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ab/>
        <w:t xml:space="preserve">- по 1 проекту НПА органу-разработчику дано отрицательное заключение</w:t>
        <w:br/>
        <w:t xml:space="preserve">об ОРВ в связи с нарушением процедуры оценки регулирующего воздействия, принято решение о повторном проведении процедуры ОРВ.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ab/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По итогам проведения экспертизы и оценки фактического воздействия по 7 действующим нормативным правовым актам сделаны выводы о необходимости отмены, либо внесении изменений.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ab/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Важной частью процедуры ОРВ являются публичные консультации, в ходе которых бизнес и эксперты оценивают, как новое регулирование повлияет на предпринимательскую среду. На постоянной основе в публичных обсуждениях принимают участие общественные организации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и бизнес-объединения области, также за 2023 год в публичных консультациях на региональном уровне приняли участие более 60 коммерческих и некоммерческих организаций различных форм собственности.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ab/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За 2023 год по итогам публичных консультаций от участников поступило более 530 мнений, предложений и замечаний, в том числе с позициями в поддержку разрабатываемых нормативных актов, из них 98 % предложений разработчиками учтено.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ab/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В целях популяризации и улучшения качества проведения оценки регулирующего воздействия в муниципальных образованиях области в октябре </w:t>
        <w:br/>
        <w:t xml:space="preserve">2023 года проведено корпоративное обучение муниципальных служащих. </w:t>
        <w:br/>
        <w:t xml:space="preserve">В мероприятии приняли участие более 80 сотрудников из 2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2 муниципальных районов и городских округов области.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</w:p>
    <w:p>
      <w:pPr>
        <w:ind w:left="0" w:right="0" w:firstLine="708"/>
        <w:jc w:val="both"/>
        <w:spacing w:before="0" w:after="240" w:line="259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Также в 2023 году заключено обновленное соглашение о взаимодействии при проведении оценки регулирующего воздействия с Белгородским региональным отделением Общероссийской общественной организации малого и среднего предпринимательства «ОПОРА РОССИИ», в рамка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х которого БРО «ОПОРА РОССИИ» будет принимать участие в подготовке аналитической информации при проведении оценки регулирующего воздействия, участвовать в разработке нормативных правовых актов, оказывать информационную поддержку процедуры оценки регулирующ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его воздействия на территории региона.</w:t>
        <w:br/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По итогам ежегодного рейтинга качества осуществления оценки регулирующего воздействия в субъектах Российской Федерации, проводимого Министерством экономического развития Российской Федерации в 2023 году, Белгородская область вошла в число 18 регионов – поб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едителей с «высшим уровнем» развития ОРВ.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Информация об ОРВ в Белгородской области постоянно размещается и обновляется на сайтах министерства экономического развития и промышленности Белгородской области http://minecprom.ru/, Инвестиционном портале Белгородской области www.belgorodinvest.com и еди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ном региональном портале для предпринимателей «Мой бизнес» </w:t>
      </w:r>
      <w:hyperlink r:id="rId9" w:tooltip="https://www.mb31.ru." w:history="1">
        <w:r>
          <w:rPr>
            <w:rStyle w:val="793"/>
            <w:rFonts w:ascii="Times New Roman" w:hAnsi="Times New Roman" w:eastAsia="Arial" w:cs="Times New Roman"/>
            <w:color w:val="000000" w:themeColor="text1"/>
            <w:sz w:val="26"/>
            <w:szCs w:val="26"/>
          </w:rPr>
          <w:t xml:space="preserve">https://www.mb31.ru.</w:t>
        </w:r>
        <w:r>
          <w:rPr>
            <w:rStyle w:val="793"/>
            <w:rFonts w:ascii="Times New Roman" w:hAnsi="Times New Roman" w:cs="Times New Roman"/>
            <w:color w:val="000000" w:themeColor="text1"/>
            <w:sz w:val="26"/>
            <w:szCs w:val="26"/>
          </w:rPr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Кроме того, сформирован и постоянно обновляется региональный раздел Белгородской области на федеральном информационном портале по оценке регулирующего воздействия www.orv.gov.ru.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3"/>
    <w:link w:val="812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11"/>
    <w:next w:val="811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3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11"/>
    <w:next w:val="811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3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11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paragraph" w:styleId="812">
    <w:name w:val="Heading 1"/>
    <w:basedOn w:val="811"/>
    <w:link w:val="81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17">
    <w:name w:val="Balloon Text"/>
    <w:basedOn w:val="811"/>
    <w:link w:val="81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8" w:customStyle="1">
    <w:name w:val="Текст выноски Знак"/>
    <w:basedOn w:val="813"/>
    <w:link w:val="81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mb31.ru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revision>5</cp:revision>
  <dcterms:created xsi:type="dcterms:W3CDTF">2023-03-29T09:19:00Z</dcterms:created>
  <dcterms:modified xsi:type="dcterms:W3CDTF">2024-09-26T11:01:49Z</dcterms:modified>
</cp:coreProperties>
</file>