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992" w:right="0" w:firstLine="0"/>
        <w:jc w:val="center"/>
        <w:spacing w:before="100" w:beforeAutospacing="1" w:after="100" w:afterAutospacing="1" w:line="240" w:lineRule="auto"/>
        <w:rPr>
          <w:rFonts w:ascii="PT Astra Serif" w:hAnsi="PT Astra Serif" w:cs="PT Astra Serif"/>
          <w:b/>
          <w:bCs/>
          <w:sz w:val="28"/>
          <w:szCs w:val="28"/>
        </w:rPr>
        <w:outlineLvl w:val="2"/>
      </w:pPr>
      <w:r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  <w:t xml:space="preserve">Сравнительный расчет издержек хозяйствующих субъектов </w:t>
      </w:r>
      <w:r>
        <w:rPr>
          <w:rFonts w:ascii="PT Astra Serif" w:hAnsi="PT Astra Serif" w:eastAsia="SimSun" w:cs="PT Astra Serif"/>
          <w:b/>
          <w:bCs/>
          <w:sz w:val="28"/>
          <w:szCs w:val="28"/>
        </w:rPr>
        <w:t xml:space="preserve">на предоставление геологической информации о недрах</w:t>
      </w:r>
      <w:r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  <w:t xml:space="preserve">.</w:t>
      </w:r>
      <w:r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-992" w:right="0" w:firstLine="0"/>
        <w:spacing w:after="0" w:line="240" w:lineRule="auto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eastAsia="Times New Roman" w:cs="PT Astra Serif"/>
          <w:b/>
          <w:sz w:val="28"/>
          <w:szCs w:val="28"/>
          <w:lang w:eastAsia="ru-RU"/>
        </w:rPr>
        <w:t xml:space="preserve">Название требования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-992" w:right="0" w:firstLine="0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SimSun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-992" w:right="0" w:firstLine="0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SimSun" w:cs="PT Astra Serif"/>
          <w:sz w:val="28"/>
          <w:szCs w:val="28"/>
        </w:rPr>
        <w:t xml:space="preserve">Предоставление геологической информации о недрах (</w:t>
      </w:r>
      <w:r>
        <w:rPr>
          <w:rFonts w:ascii="PT Astra Serif" w:hAnsi="PT Astra Serif" w:eastAsia="SimSun" w:cs="PT Astra Serif"/>
          <w:sz w:val="28"/>
          <w:szCs w:val="28"/>
        </w:rPr>
        <w:t xml:space="preserve">первичная</w:t>
      </w:r>
      <w:r>
        <w:rPr>
          <w:rFonts w:ascii="PT Astra Serif" w:hAnsi="PT Astra Serif" w:eastAsia="SimSun" w:cs="PT Astra Serif"/>
          <w:sz w:val="28"/>
          <w:szCs w:val="28"/>
        </w:rPr>
        <w:t xml:space="preserve"> и интерпретированная) в отношении участков недр местного значения, полученная пользователем недр в фонд геологической информации Белгородской области.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-992" w:right="0" w:firstLine="0"/>
        <w:spacing w:after="0" w:line="240" w:lineRule="auto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eastAsia="Times New Roman" w:cs="PT Astra Serif"/>
          <w:b/>
          <w:sz w:val="28"/>
          <w:szCs w:val="28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-992" w:right="0" w:firstLine="0"/>
        <w:spacing w:after="0" w:line="240" w:lineRule="auto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eastAsia="Times New Roman" w:cs="PT Astra Serif"/>
          <w:b/>
          <w:sz w:val="28"/>
          <w:szCs w:val="28"/>
          <w:lang w:eastAsia="ru-RU"/>
        </w:rPr>
        <w:t xml:space="preserve">Тип требования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-992" w:right="0" w:firstLine="0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Подготовка и предоставление геологической информации.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-992" w:right="0" w:firstLine="0"/>
        <w:spacing w:after="0" w:line="240" w:lineRule="auto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eastAsia="Times New Roman" w:cs="PT Astra Serif"/>
          <w:b/>
          <w:sz w:val="28"/>
          <w:szCs w:val="28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-992" w:right="0" w:firstLine="0"/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  <w:t xml:space="preserve">Тип элемента: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 Геологическая информация о недрах, подготовленная заявителем, для направления в департамент агропромышленного комплекса и воспроизводства окружающей среды области.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-992" w:right="0" w:firstLine="0"/>
        <w:spacing w:after="0" w:line="240" w:lineRule="auto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-992" w:right="0" w:firstLine="0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  <w:t xml:space="preserve">Масштаб: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 Количество субъектов предпринимательской деятельности 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- 1114 ед.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</w:r>
      <w:r/>
    </w:p>
    <w:p>
      <w:pPr>
        <w:ind w:left="-992" w:right="0" w:firstLine="0"/>
        <w:jc w:val="both"/>
        <w:spacing w:after="0" w:line="240" w:lineRule="auto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-992" w:right="0" w:firstLine="0"/>
        <w:jc w:val="both"/>
        <w:spacing w:after="0" w:line="240" w:lineRule="auto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  <w:t xml:space="preserve">Частота: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 1 раз в год </w:t>
      </w:r>
      <w:r>
        <w:rPr>
          <w:rFonts w:ascii="PT Astra Serif" w:hAnsi="PT Astra Serif" w:cs="PT Astra Serif"/>
          <w:sz w:val="28"/>
          <w:szCs w:val="28"/>
        </w:rPr>
      </w:r>
      <w:r/>
    </w:p>
    <w:tbl>
      <w:tblPr>
        <w:tblStyle w:val="695"/>
        <w:tblW w:w="0" w:type="auto"/>
        <w:tblInd w:w="-877" w:type="dxa"/>
        <w:tblLayout w:type="fixed"/>
        <w:tblLook w:val="04A0" w:firstRow="1" w:lastRow="0" w:firstColumn="1" w:lastColumn="0" w:noHBand="0" w:noVBand="1"/>
      </w:tblPr>
      <w:tblGrid>
        <w:gridCol w:w="5494"/>
        <w:gridCol w:w="5352"/>
      </w:tblGrid>
      <w:tr>
        <w:trPr/>
        <w:tc>
          <w:tcPr>
            <w:tcW w:w="54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  <w:t xml:space="preserve">2020 г. (в соответствии с действующим нормативным регулированием)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</w:r>
            <w:r/>
          </w:p>
        </w:tc>
        <w:tc>
          <w:tcPr>
            <w:tcW w:w="53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  <w:t xml:space="preserve">2023 г. (в соответствии с данными мониторинга деятельности фонда)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108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Среднемесячная заработная плата по Белгородской области: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54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  <w:t xml:space="preserve">33850 руб.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</w:r>
            <w:r/>
          </w:p>
        </w:tc>
        <w:tc>
          <w:tcPr>
            <w:tcW w:w="53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  <w:t xml:space="preserve">41380 руб.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108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Средняя стоимость часа работы: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549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  <w:t xml:space="preserve">192,3 руб.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</w:r>
            <w:r/>
          </w:p>
        </w:tc>
        <w:tc>
          <w:tcPr>
            <w:tcW w:w="53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  <w:t xml:space="preserve">235,11 руб.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108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PT Astra Serif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  <w:t xml:space="preserve">Трудозатраты на предоставление документов: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5494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4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1) н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аписание 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заявления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 0,5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 чел./часа.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К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опирование документов (примерный перечень):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41"/>
              <w:ind w:firstLine="0"/>
              <w:jc w:val="left"/>
              <w:spacing w:before="0" w:beforeAutospacing="0" w:after="0" w:afterAutospacing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2) отчеты по геологическому изучению, поискам и разведке месторождений общераспространенных полезных ископаемых, прошедшие государственную регистрацию, выполненные пользователями недр за счет собственных средств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 - 5 чел./часов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;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41"/>
              <w:ind w:firstLine="0"/>
              <w:jc w:val="left"/>
              <w:spacing w:before="0" w:beforeAutospacing="0" w:after="0" w:afterAutospacing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3) отчеты по геологическому изучению, поискам и разведке месторождений подземных вод, прошедшие государственную регистрацию, выполненные пользователями недр за счет собственных средств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 - 5 чел./часов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;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41"/>
              <w:ind w:firstLine="0"/>
              <w:jc w:val="left"/>
              <w:spacing w:before="0" w:beforeAutospacing="0" w:after="0" w:afterAutospacing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4) лицензии на пользование участками недр местного значения                            на территории Белгородской области в целях добычи общераспространенных полезных ископаемых, действие которых закончено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 - 0,5 чел./часа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;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41"/>
              <w:ind w:firstLine="0"/>
              <w:jc w:val="left"/>
              <w:spacing w:before="0" w:beforeAutospacing="0" w:after="0" w:afterAutospacing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5) лицензии на пользование участками недр местного значения в целях добычи подземных вод на территории Белгородской области, действие которых закончено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 - 0,5 чел./часа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;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41"/>
              <w:ind w:firstLine="0"/>
              <w:jc w:val="left"/>
              <w:spacing w:before="0" w:beforeAutospacing="0" w:after="0" w:afterAutospacing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6) документация по проведению аукционов на право пользования участками недр местного значения на территории Белгородской области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 - 1 чел/час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;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41"/>
              <w:ind w:firstLine="0"/>
              <w:jc w:val="left"/>
              <w:spacing w:before="0" w:beforeAutospacing="0" w:after="0" w:afterAutospacing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7) территориальные балансы запасов общераспространенных полезных ископаемых Белгородской области по видам полезных ископаемых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 - 0,7 чел./часа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;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41"/>
              <w:ind w:firstLine="0"/>
              <w:jc w:val="left"/>
              <w:spacing w:before="0" w:beforeAutospacing="0" w:after="0" w:afterAutospacing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8) паспорта кадастров месторождений и проявлений общераспространенных полезных ископаемых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 – 0,2 чел./часа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.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9) подача (пакета документов) в орган государственной власти - 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0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,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 чел./час.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PT Astra Serif" w:hAnsi="PT Astra Serif" w:cs="PT Astra Serif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  <w:t xml:space="preserve">Итого: 13,5 чел./часов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/>
          </w:p>
        </w:tc>
        <w:tc>
          <w:tcPr>
            <w:tcW w:w="5352" w:type="dxa"/>
            <w:textDirection w:val="lrTb"/>
            <w:noWrap w:val="false"/>
          </w:tcPr>
          <w:p>
            <w:pPr>
              <w:pStyle w:val="679"/>
              <w:numPr>
                <w:ilvl w:val="0"/>
                <w:numId w:val="3"/>
              </w:numPr>
              <w:ind w:left="0" w:right="-108" w:firstLine="0"/>
              <w:jc w:val="left"/>
              <w:spacing w:after="0" w:line="24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написание зая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вления -0,2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 чел./часа.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Копирование документов (примерный перечень):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41"/>
              <w:ind w:firstLine="0"/>
              <w:jc w:val="left"/>
              <w:spacing w:before="0" w:beforeAutospacing="0" w:after="0" w:afterAutospacing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2) отчеты по геологическому изучению, поискам и разведке месторождений общераспространенных полезных ископаемых, прошедшие государственную регистрацию, выполненные пользователями недр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 за счет собственных средств - 4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 чел/часа;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41"/>
              <w:ind w:firstLine="0"/>
              <w:jc w:val="left"/>
              <w:spacing w:before="0" w:beforeAutospacing="0" w:after="0" w:afterAutospacing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3) отчеты по геологическому изучению, поискам и разведке месторождений подземных вод, прошедшие государственную регистрацию, выполненные пользователями недр за счет собственных средств - 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4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 чел/часа;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41"/>
              <w:ind w:firstLine="0"/>
              <w:jc w:val="left"/>
              <w:spacing w:before="0" w:beforeAutospacing="0" w:after="0" w:afterAutospacing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4) документация по проведению аукционов на право пользования участками недр местного значения на территории Белгородской области - 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0,7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 чел/часов;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pStyle w:val="841"/>
              <w:ind w:firstLine="0"/>
              <w:jc w:val="left"/>
              <w:spacing w:before="0" w:beforeAutospacing="0" w:after="0" w:afterAutospacing="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5) территориальные балансы запасов общераспространенных полезных ископаемых Белгородской области по видам полезных ископаемых - 0,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2</w:t>
            </w:r>
            <w:r>
              <w:rPr>
                <w:rFonts w:ascii="PT Astra Serif" w:hAnsi="PT Astra Serif" w:cs="PT Astra Serif"/>
                <w:sz w:val="28"/>
                <w:szCs w:val="28"/>
                <w:shd w:val="clear" w:color="auto" w:fill="ffffff"/>
              </w:rPr>
              <w:t xml:space="preserve"> чел/часа;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Подача (пакета документов) в орган государственной власти - 0,1 чел./час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PT Astra Serif" w:hAnsi="PT Astra Serif" w:cs="PT Astra Serif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PT Astra Serif" w:hAnsi="PT Astra Serif" w:cs="PT Astra Serif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PT Astra Serif" w:hAnsi="PT Astra Serif" w:cs="PT Astra Serif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PT Astra Serif" w:hAnsi="PT Astra Serif" w:cs="PT Astra Serif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PT Astra Serif" w:hAnsi="PT Astra Serif" w:cs="PT Astra Serif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PT Astra Serif" w:hAnsi="PT Astra Serif" w:cs="PT Astra Serif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PT Astra Serif" w:hAnsi="PT Astra Serif" w:cs="PT Astra Serif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PT Astra Serif" w:hAnsi="PT Astra Serif" w:cs="PT Astra Serif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PT Astra Serif" w:hAnsi="PT Astra Serif" w:cs="PT Astra Serif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PT Astra Serif" w:hAnsi="PT Astra Serif" w:cs="PT Astra Serif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PT Astra Serif" w:hAnsi="PT Astra Serif" w:cs="PT Astra Serif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PT Astra Serif" w:hAnsi="PT Astra Serif" w:cs="PT Astra Serif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PT Astra Serif" w:hAnsi="PT Astra Serif" w:cs="PT Astra Serif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  <w:t xml:space="preserve">Итого: 9,2 чел./часа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108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Затраты одного  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субъекта предпринимательской деятельности</w:t>
            </w:r>
            <w:r>
              <w:rPr>
                <w:rFonts w:ascii="PT Astra Serif" w:hAnsi="PT Astra Serif" w:eastAsia="Times New Roman" w:cs="PT Astra Serif"/>
                <w:b/>
                <w:bCs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tcW w:w="5494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(13,5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 чел/часов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*1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92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,3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 руб.)=2596,05 руб.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  <w:r/>
          </w:p>
        </w:tc>
        <w:tc>
          <w:tcPr>
            <w:tcW w:w="535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  <w:t xml:space="preserve">(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9,2 чел/часов*235,11 руб.)= 2163,01  руб.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1084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PT Astra Serif" w:hAnsi="PT Astra Serif" w:cs="PT Astra Serif"/>
                <w:bCs/>
                <w:color w:val="ff0000"/>
                <w:sz w:val="28"/>
                <w:szCs w:val="28"/>
              </w:rPr>
            </w:pP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Общая стоимость требования</w:t>
            </w:r>
            <w:r>
              <w:rPr>
                <w:rFonts w:ascii="PT Astra Serif" w:hAnsi="PT Astra Serif" w:eastAsia="Times New Roman" w:cs="PT Astra Serif"/>
                <w:b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PT Astra Serif" w:hAnsi="PT Astra Serif" w:cs="PT Astra Serif"/>
                <w:b/>
                <w:bCs/>
                <w:color w:val="ff0000"/>
                <w:sz w:val="28"/>
                <w:szCs w:val="28"/>
              </w:rPr>
            </w:r>
            <w:r/>
          </w:p>
        </w:tc>
      </w:tr>
      <w:tr>
        <w:trPr/>
        <w:tc>
          <w:tcPr>
            <w:tcW w:w="5494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  <w:t xml:space="preserve">(2596,05*1114 ед.)=</w:t>
            </w:r>
            <w:r>
              <w:rPr>
                <w:rFonts w:ascii="PT Astra Serif" w:hAnsi="PT Astra Serif" w:eastAsia="Times New Roman" w:cs="PT Astra Serif"/>
                <w:b w:val="0"/>
                <w:bCs w:val="0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PT Astra Serif" w:hAnsi="PT Astra Serif" w:eastAsia="Times New Roman" w:cs="PT Astra Serif"/>
                <w:b w:val="0"/>
                <w:bCs w:val="0"/>
                <w:sz w:val="28"/>
                <w:szCs w:val="28"/>
                <w:lang w:eastAsia="ru-RU"/>
              </w:rPr>
              <w:t xml:space="preserve">891,9 тыс.</w:t>
            </w:r>
            <w:r>
              <w:rPr>
                <w:rFonts w:ascii="PT Astra Serif" w:hAnsi="PT Astra Serif" w:eastAsia="Times New Roman" w:cs="PT Astra Serif"/>
                <w:b w:val="0"/>
                <w:bCs w:val="0"/>
                <w:sz w:val="28"/>
                <w:szCs w:val="28"/>
                <w:lang w:eastAsia="ru-RU"/>
              </w:rPr>
              <w:t xml:space="preserve"> руб.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highlight w:val="none"/>
                <w:lang w:eastAsia="ru-RU"/>
              </w:rPr>
            </w:r>
            <w:r/>
          </w:p>
        </w:tc>
        <w:tc>
          <w:tcPr>
            <w:tcW w:w="535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3464" w:leader="none"/>
              </w:tabs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(2163,01*1114 ед.)=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  <w:t xml:space="preserve">2409,6 тыс.руб.</w:t>
            </w:r>
            <w:r>
              <w:rPr>
                <w:rFonts w:ascii="PT Astra Serif" w:hAnsi="PT Astra Serif" w:eastAsia="Times New Roman" w:cs="PT Astra Serif"/>
                <w:sz w:val="28"/>
                <w:szCs w:val="28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eastAsia="Times New Roman" w:cs="PT Astra Serif"/>
          <w:sz w:val="28"/>
          <w:szCs w:val="28"/>
          <w:lang w:eastAsia="ru-RU"/>
        </w:rPr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41"/>
        <w:ind w:left="-992" w:right="0" w:firstLine="992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  <w:highlight w:val="white"/>
          <w:u w:val="single"/>
          <w:shd w:val="clear" w:color="auto" w:fill="ffffff"/>
        </w:rPr>
      </w:pPr>
      <w:r>
        <w:rPr>
          <w:rFonts w:ascii="PT Astra Serif" w:hAnsi="PT Astra Serif" w:cs="PT Astra Serif"/>
          <w:sz w:val="28"/>
          <w:szCs w:val="28"/>
          <w:highlight w:val="white"/>
        </w:rPr>
        <w:t xml:space="preserve">В связи с внедрением в 2022 году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информационного ресурса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в сфере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недропользования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«АСЛН» исключена необходимость дублирования на бумажном носителе документов:</w:t>
      </w:r>
      <w:r>
        <w:rPr>
          <w:rFonts w:ascii="PT Astra Serif" w:hAnsi="PT Astra Serif" w:cs="PT Astra Serif"/>
          <w:sz w:val="28"/>
          <w:szCs w:val="28"/>
          <w:highlight w:val="white"/>
          <w:u w:val="single"/>
        </w:rPr>
      </w:r>
      <w:r/>
    </w:p>
    <w:p>
      <w:pPr>
        <w:pStyle w:val="841"/>
        <w:ind w:left="-992" w:right="0" w:firstLine="0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PT Astra Serif"/>
          <w:sz w:val="28"/>
          <w:szCs w:val="28"/>
          <w:shd w:val="clear" w:color="auto" w:fill="ffffff"/>
        </w:rPr>
        <w:t xml:space="preserve">- паспорта кадастров месторождений и проявлений общераспространенных полезных ископаемых;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41"/>
        <w:ind w:left="-992" w:right="0" w:firstLine="0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PT Astra Serif"/>
          <w:sz w:val="28"/>
          <w:szCs w:val="28"/>
          <w:shd w:val="clear" w:color="auto" w:fill="ffffff"/>
        </w:rPr>
        <w:t xml:space="preserve">- лицензии на пользование участками недр местного значения на территории Белгородской области в целях добычи общераспространенных полезных ископаемых, действие которых закончено;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pStyle w:val="841"/>
        <w:ind w:left="-992" w:right="0" w:firstLine="0"/>
        <w:jc w:val="both"/>
        <w:spacing w:before="0" w:beforeAutospacing="0" w:after="0" w:afterAutospacing="0"/>
        <w:rPr>
          <w:rFonts w:ascii="PT Astra Serif" w:hAnsi="PT Astra Serif" w:cs="PT Astra Serif"/>
          <w:sz w:val="28"/>
          <w:szCs w:val="28"/>
          <w:shd w:val="clear" w:color="auto" w:fill="ffffff"/>
        </w:rPr>
      </w:pPr>
      <w:r>
        <w:rPr>
          <w:rFonts w:ascii="PT Astra Serif" w:hAnsi="PT Astra Serif" w:cs="PT Astra Serif"/>
          <w:sz w:val="28"/>
          <w:szCs w:val="28"/>
          <w:shd w:val="clear" w:color="auto" w:fill="ffffff"/>
        </w:rPr>
        <w:t xml:space="preserve">- лицензии на пользование участками недр местного значения в целях добычи подземных вод на территории Белгородской области, действие которых закончено.</w:t>
      </w: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left="-992" w:right="0" w:firstLine="0"/>
        <w:jc w:val="both"/>
        <w:spacing w:after="0" w:line="240" w:lineRule="auto"/>
      </w:pPr>
      <w:r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  <w:t xml:space="preserve">             Текущие затраты одного </w:t>
      </w:r>
      <w:r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  <w:t xml:space="preserve">субъекта предпринимательской </w:t>
      </w:r>
      <w:r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  <w:t xml:space="preserve">деятельности</w:t>
      </w:r>
      <w:r>
        <w:t xml:space="preserve"> </w:t>
      </w:r>
      <w:r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  <w:t xml:space="preserve">сокращены на</w:t>
      </w:r>
      <w:r>
        <w:rPr>
          <w:rFonts w:ascii="PT Astra Serif" w:hAnsi="PT Astra Serif" w:eastAsia="Times New Roman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  <w:t xml:space="preserve">433,04</w:t>
      </w:r>
      <w:r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  <w:t xml:space="preserve"> руб.</w:t>
      </w:r>
      <w:r>
        <w:rPr>
          <w:rFonts w:ascii="PT Astra Serif" w:hAnsi="PT Astra Serif" w:cs="PT Astra Serif"/>
          <w:b/>
          <w:bCs/>
          <w:sz w:val="28"/>
          <w:szCs w:val="28"/>
        </w:rPr>
      </w:r>
      <w:r/>
    </w:p>
    <w:p>
      <w:pPr>
        <w:ind w:left="-992" w:right="0" w:firstLine="0"/>
        <w:spacing w:after="0" w:line="240" w:lineRule="auto"/>
        <w:rPr>
          <w:rFonts w:ascii="PT Astra Serif" w:hAnsi="PT Astra Serif" w:eastAsia="Times New Roman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eastAsia="Times New Roman" w:cs="PT Astra Serif"/>
          <w:b/>
          <w:sz w:val="28"/>
          <w:szCs w:val="28"/>
          <w:lang w:eastAsia="ru-RU"/>
        </w:rPr>
        <w:t xml:space="preserve">             </w:t>
      </w:r>
      <w:r>
        <w:rPr>
          <w:rFonts w:ascii="PT Astra Serif" w:hAnsi="PT Astra Serif" w:cs="PT Astra Serif"/>
          <w:b/>
          <w:color w:val="ff0000"/>
          <w:sz w:val="28"/>
          <w:szCs w:val="28"/>
        </w:rPr>
      </w:r>
      <w:r/>
    </w:p>
    <w:p>
      <w:pPr>
        <w:ind w:left="-992" w:right="0" w:firstLine="0"/>
        <w:spacing w:after="0" w:line="240" w:lineRule="auto"/>
        <w:rPr>
          <w:rFonts w:ascii="PT Astra Serif" w:hAnsi="PT Astra Serif" w:cs="PT Astra Serif"/>
          <w:b/>
          <w:bCs/>
          <w:color w:val="ff0000"/>
          <w:sz w:val="28"/>
          <w:szCs w:val="28"/>
        </w:rPr>
      </w:pPr>
      <w:r>
        <w:rPr>
          <w:rFonts w:ascii="PT Astra Serif" w:hAnsi="PT Astra Serif" w:eastAsia="Times New Roman" w:cs="PT Astra Serif"/>
          <w:b/>
          <w:sz w:val="28"/>
          <w:szCs w:val="28"/>
          <w:lang w:eastAsia="ru-RU"/>
        </w:rPr>
        <w:t xml:space="preserve">             Общая стоимость требования снизилась на  </w:t>
      </w:r>
      <w:r>
        <w:rPr>
          <w:rFonts w:ascii="PT Astra Serif" w:hAnsi="PT Astra Serif" w:eastAsia="Times New Roman" w:cs="PT Astra Serif"/>
          <w:b/>
          <w:sz w:val="28"/>
          <w:szCs w:val="28"/>
          <w:lang w:eastAsia="ru-RU"/>
        </w:rPr>
        <w:t xml:space="preserve">482,3 тыс.</w:t>
      </w:r>
      <w:r>
        <w:rPr>
          <w:rFonts w:ascii="PT Astra Serif" w:hAnsi="PT Astra Serif" w:eastAsia="Times New Roman" w:cs="PT Astra Serif"/>
          <w:b/>
          <w:sz w:val="28"/>
          <w:szCs w:val="28"/>
          <w:lang w:eastAsia="ru-RU"/>
        </w:rPr>
        <w:t xml:space="preserve"> руб.</w:t>
      </w:r>
      <w:r>
        <w:rPr>
          <w:rFonts w:ascii="PT Astra Serif" w:hAnsi="PT Astra Serif" w:cs="PT Astra Serif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567" w:bottom="28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506000000020000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667"/>
    <w:link w:val="658"/>
    <w:uiPriority w:val="9"/>
    <w:rPr>
      <w:rFonts w:ascii="Arial" w:hAnsi="Arial" w:eastAsia="Arial" w:cs="Arial"/>
      <w:sz w:val="40"/>
      <w:szCs w:val="40"/>
    </w:rPr>
  </w:style>
  <w:style w:type="character" w:styleId="641">
    <w:name w:val="Heading 2 Char"/>
    <w:basedOn w:val="667"/>
    <w:link w:val="659"/>
    <w:uiPriority w:val="9"/>
    <w:rPr>
      <w:rFonts w:ascii="Arial" w:hAnsi="Arial" w:eastAsia="Arial" w:cs="Arial"/>
      <w:sz w:val="34"/>
    </w:rPr>
  </w:style>
  <w:style w:type="character" w:styleId="642">
    <w:name w:val="Heading 3 Char"/>
    <w:basedOn w:val="667"/>
    <w:link w:val="660"/>
    <w:uiPriority w:val="9"/>
    <w:rPr>
      <w:rFonts w:ascii="Arial" w:hAnsi="Arial" w:eastAsia="Arial" w:cs="Arial"/>
      <w:sz w:val="30"/>
      <w:szCs w:val="30"/>
    </w:rPr>
  </w:style>
  <w:style w:type="character" w:styleId="643">
    <w:name w:val="Heading 4 Char"/>
    <w:basedOn w:val="667"/>
    <w:link w:val="661"/>
    <w:uiPriority w:val="9"/>
    <w:rPr>
      <w:rFonts w:ascii="Arial" w:hAnsi="Arial" w:eastAsia="Arial" w:cs="Arial"/>
      <w:b/>
      <w:bCs/>
      <w:sz w:val="26"/>
      <w:szCs w:val="26"/>
    </w:rPr>
  </w:style>
  <w:style w:type="character" w:styleId="644">
    <w:name w:val="Heading 5 Char"/>
    <w:basedOn w:val="667"/>
    <w:link w:val="662"/>
    <w:uiPriority w:val="9"/>
    <w:rPr>
      <w:rFonts w:ascii="Arial" w:hAnsi="Arial" w:eastAsia="Arial" w:cs="Arial"/>
      <w:b/>
      <w:bCs/>
      <w:sz w:val="24"/>
      <w:szCs w:val="24"/>
    </w:rPr>
  </w:style>
  <w:style w:type="character" w:styleId="645">
    <w:name w:val="Heading 6 Char"/>
    <w:basedOn w:val="667"/>
    <w:link w:val="663"/>
    <w:uiPriority w:val="9"/>
    <w:rPr>
      <w:rFonts w:ascii="Arial" w:hAnsi="Arial" w:eastAsia="Arial" w:cs="Arial"/>
      <w:b/>
      <w:bCs/>
      <w:sz w:val="22"/>
      <w:szCs w:val="22"/>
    </w:rPr>
  </w:style>
  <w:style w:type="character" w:styleId="646">
    <w:name w:val="Heading 7 Char"/>
    <w:basedOn w:val="667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8 Char"/>
    <w:basedOn w:val="667"/>
    <w:link w:val="665"/>
    <w:uiPriority w:val="9"/>
    <w:rPr>
      <w:rFonts w:ascii="Arial" w:hAnsi="Arial" w:eastAsia="Arial" w:cs="Arial"/>
      <w:i/>
      <w:iCs/>
      <w:sz w:val="22"/>
      <w:szCs w:val="22"/>
    </w:rPr>
  </w:style>
  <w:style w:type="character" w:styleId="648">
    <w:name w:val="Heading 9 Char"/>
    <w:basedOn w:val="667"/>
    <w:link w:val="666"/>
    <w:uiPriority w:val="9"/>
    <w:rPr>
      <w:rFonts w:ascii="Arial" w:hAnsi="Arial" w:eastAsia="Arial" w:cs="Arial"/>
      <w:i/>
      <w:iCs/>
      <w:sz w:val="21"/>
      <w:szCs w:val="21"/>
    </w:rPr>
  </w:style>
  <w:style w:type="character" w:styleId="649">
    <w:name w:val="Title Char"/>
    <w:basedOn w:val="667"/>
    <w:link w:val="681"/>
    <w:uiPriority w:val="10"/>
    <w:rPr>
      <w:sz w:val="48"/>
      <w:szCs w:val="48"/>
    </w:rPr>
  </w:style>
  <w:style w:type="character" w:styleId="650">
    <w:name w:val="Subtitle Char"/>
    <w:basedOn w:val="667"/>
    <w:link w:val="683"/>
    <w:uiPriority w:val="11"/>
    <w:rPr>
      <w:sz w:val="24"/>
      <w:szCs w:val="24"/>
    </w:rPr>
  </w:style>
  <w:style w:type="character" w:styleId="651">
    <w:name w:val="Quote Char"/>
    <w:link w:val="685"/>
    <w:uiPriority w:val="29"/>
    <w:rPr>
      <w:i/>
    </w:rPr>
  </w:style>
  <w:style w:type="character" w:styleId="652">
    <w:name w:val="Intense Quote Char"/>
    <w:link w:val="687"/>
    <w:uiPriority w:val="30"/>
    <w:rPr>
      <w:i/>
    </w:rPr>
  </w:style>
  <w:style w:type="character" w:styleId="653">
    <w:name w:val="Header Char"/>
    <w:basedOn w:val="667"/>
    <w:link w:val="689"/>
    <w:uiPriority w:val="99"/>
  </w:style>
  <w:style w:type="character" w:styleId="654">
    <w:name w:val="Caption Char"/>
    <w:basedOn w:val="693"/>
    <w:link w:val="691"/>
    <w:uiPriority w:val="99"/>
  </w:style>
  <w:style w:type="character" w:styleId="655">
    <w:name w:val="Footnote Text Char"/>
    <w:link w:val="822"/>
    <w:uiPriority w:val="99"/>
    <w:rPr>
      <w:sz w:val="18"/>
    </w:rPr>
  </w:style>
  <w:style w:type="character" w:styleId="656">
    <w:name w:val="Endnote Text Char"/>
    <w:link w:val="825"/>
    <w:uiPriority w:val="99"/>
    <w:rPr>
      <w:sz w:val="20"/>
    </w:rPr>
  </w:style>
  <w:style w:type="paragraph" w:styleId="657" w:default="1">
    <w:name w:val="Normal"/>
    <w:qFormat/>
  </w:style>
  <w:style w:type="paragraph" w:styleId="658">
    <w:name w:val="Heading 1"/>
    <w:basedOn w:val="657"/>
    <w:next w:val="657"/>
    <w:link w:val="6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9">
    <w:name w:val="Heading 2"/>
    <w:basedOn w:val="657"/>
    <w:next w:val="657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60">
    <w:name w:val="Heading 3"/>
    <w:basedOn w:val="657"/>
    <w:next w:val="657"/>
    <w:link w:val="67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61">
    <w:name w:val="Heading 4"/>
    <w:basedOn w:val="657"/>
    <w:next w:val="657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657"/>
    <w:next w:val="657"/>
    <w:link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657"/>
    <w:next w:val="657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64">
    <w:name w:val="Heading 7"/>
    <w:basedOn w:val="657"/>
    <w:next w:val="657"/>
    <w:link w:val="67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65">
    <w:name w:val="Heading 8"/>
    <w:basedOn w:val="657"/>
    <w:next w:val="657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6">
    <w:name w:val="Heading 9"/>
    <w:basedOn w:val="657"/>
    <w:next w:val="657"/>
    <w:link w:val="6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 w:default="1">
    <w:name w:val="Default Paragraph Font"/>
    <w:uiPriority w:val="1"/>
    <w:semiHidden/>
    <w:unhideWhenUsed/>
  </w:style>
  <w:style w:type="table" w:styleId="6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9" w:default="1">
    <w:name w:val="No List"/>
    <w:uiPriority w:val="99"/>
    <w:semiHidden/>
    <w:unhideWhenUsed/>
  </w:style>
  <w:style w:type="character" w:styleId="670" w:customStyle="1">
    <w:name w:val="Заголовок 1 Знак"/>
    <w:basedOn w:val="667"/>
    <w:link w:val="658"/>
    <w:uiPriority w:val="9"/>
    <w:rPr>
      <w:rFonts w:ascii="Arial" w:hAnsi="Arial" w:eastAsia="Arial" w:cs="Arial"/>
      <w:sz w:val="40"/>
      <w:szCs w:val="40"/>
    </w:rPr>
  </w:style>
  <w:style w:type="character" w:styleId="671" w:customStyle="1">
    <w:name w:val="Заголовок 2 Знак"/>
    <w:basedOn w:val="667"/>
    <w:link w:val="659"/>
    <w:uiPriority w:val="9"/>
    <w:rPr>
      <w:rFonts w:ascii="Arial" w:hAnsi="Arial" w:eastAsia="Arial" w:cs="Arial"/>
      <w:sz w:val="34"/>
    </w:rPr>
  </w:style>
  <w:style w:type="character" w:styleId="672" w:customStyle="1">
    <w:name w:val="Заголовок 3 Знак"/>
    <w:basedOn w:val="667"/>
    <w:link w:val="660"/>
    <w:uiPriority w:val="9"/>
    <w:rPr>
      <w:rFonts w:ascii="Arial" w:hAnsi="Arial" w:eastAsia="Arial" w:cs="Arial"/>
      <w:sz w:val="30"/>
      <w:szCs w:val="30"/>
    </w:rPr>
  </w:style>
  <w:style w:type="character" w:styleId="673" w:customStyle="1">
    <w:name w:val="Заголовок 4 Знак"/>
    <w:basedOn w:val="667"/>
    <w:link w:val="661"/>
    <w:uiPriority w:val="9"/>
    <w:rPr>
      <w:rFonts w:ascii="Arial" w:hAnsi="Arial" w:eastAsia="Arial" w:cs="Arial"/>
      <w:b/>
      <w:bCs/>
      <w:sz w:val="26"/>
      <w:szCs w:val="26"/>
    </w:rPr>
  </w:style>
  <w:style w:type="character" w:styleId="674" w:customStyle="1">
    <w:name w:val="Заголовок 5 Знак"/>
    <w:basedOn w:val="667"/>
    <w:link w:val="662"/>
    <w:uiPriority w:val="9"/>
    <w:rPr>
      <w:rFonts w:ascii="Arial" w:hAnsi="Arial" w:eastAsia="Arial" w:cs="Arial"/>
      <w:b/>
      <w:bCs/>
      <w:sz w:val="24"/>
      <w:szCs w:val="24"/>
    </w:rPr>
  </w:style>
  <w:style w:type="character" w:styleId="675" w:customStyle="1">
    <w:name w:val="Заголовок 6 Знак"/>
    <w:basedOn w:val="667"/>
    <w:link w:val="663"/>
    <w:uiPriority w:val="9"/>
    <w:rPr>
      <w:rFonts w:ascii="Arial" w:hAnsi="Arial" w:eastAsia="Arial" w:cs="Arial"/>
      <w:b/>
      <w:bCs/>
      <w:sz w:val="22"/>
      <w:szCs w:val="22"/>
    </w:rPr>
  </w:style>
  <w:style w:type="character" w:styleId="676" w:customStyle="1">
    <w:name w:val="Заголовок 7 Знак"/>
    <w:basedOn w:val="667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7" w:customStyle="1">
    <w:name w:val="Заголовок 8 Знак"/>
    <w:basedOn w:val="667"/>
    <w:link w:val="665"/>
    <w:uiPriority w:val="9"/>
    <w:rPr>
      <w:rFonts w:ascii="Arial" w:hAnsi="Arial" w:eastAsia="Arial" w:cs="Arial"/>
      <w:i/>
      <w:iCs/>
      <w:sz w:val="22"/>
      <w:szCs w:val="22"/>
    </w:rPr>
  </w:style>
  <w:style w:type="character" w:styleId="678" w:customStyle="1">
    <w:name w:val="Заголовок 9 Знак"/>
    <w:basedOn w:val="667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79">
    <w:name w:val="List Paragraph"/>
    <w:basedOn w:val="657"/>
    <w:uiPriority w:val="34"/>
    <w:qFormat/>
    <w:pPr>
      <w:contextualSpacing/>
      <w:ind w:left="720"/>
    </w:pPr>
  </w:style>
  <w:style w:type="paragraph" w:styleId="680">
    <w:name w:val="No Spacing"/>
    <w:uiPriority w:val="1"/>
    <w:qFormat/>
    <w:pPr>
      <w:spacing w:after="0" w:line="240" w:lineRule="auto"/>
    </w:pPr>
  </w:style>
  <w:style w:type="paragraph" w:styleId="681">
    <w:name w:val="Title"/>
    <w:basedOn w:val="657"/>
    <w:next w:val="657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 w:customStyle="1">
    <w:name w:val="Название Знак"/>
    <w:basedOn w:val="667"/>
    <w:link w:val="681"/>
    <w:uiPriority w:val="10"/>
    <w:rPr>
      <w:sz w:val="48"/>
      <w:szCs w:val="48"/>
    </w:rPr>
  </w:style>
  <w:style w:type="paragraph" w:styleId="683">
    <w:name w:val="Subtitle"/>
    <w:basedOn w:val="657"/>
    <w:next w:val="657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 w:customStyle="1">
    <w:name w:val="Подзаголовок Знак"/>
    <w:basedOn w:val="667"/>
    <w:link w:val="683"/>
    <w:uiPriority w:val="11"/>
    <w:rPr>
      <w:sz w:val="24"/>
      <w:szCs w:val="24"/>
    </w:rPr>
  </w:style>
  <w:style w:type="paragraph" w:styleId="685">
    <w:name w:val="Quote"/>
    <w:basedOn w:val="657"/>
    <w:next w:val="657"/>
    <w:link w:val="686"/>
    <w:uiPriority w:val="29"/>
    <w:qFormat/>
    <w:pPr>
      <w:ind w:left="720" w:right="720"/>
    </w:pPr>
    <w:rPr>
      <w:i/>
    </w:rPr>
  </w:style>
  <w:style w:type="character" w:styleId="686" w:customStyle="1">
    <w:name w:val="Цитата 2 Знак"/>
    <w:link w:val="685"/>
    <w:uiPriority w:val="29"/>
    <w:rPr>
      <w:i/>
    </w:rPr>
  </w:style>
  <w:style w:type="paragraph" w:styleId="687">
    <w:name w:val="Intense Quote"/>
    <w:basedOn w:val="657"/>
    <w:next w:val="657"/>
    <w:link w:val="68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 w:customStyle="1">
    <w:name w:val="Выделенная цитата Знак"/>
    <w:link w:val="687"/>
    <w:uiPriority w:val="30"/>
    <w:rPr>
      <w:i/>
    </w:rPr>
  </w:style>
  <w:style w:type="paragraph" w:styleId="689">
    <w:name w:val="Header"/>
    <w:basedOn w:val="657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 w:customStyle="1">
    <w:name w:val="Верхний колонтитул Знак"/>
    <w:basedOn w:val="667"/>
    <w:link w:val="689"/>
    <w:uiPriority w:val="99"/>
  </w:style>
  <w:style w:type="paragraph" w:styleId="691">
    <w:name w:val="Footer"/>
    <w:basedOn w:val="657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 w:customStyle="1">
    <w:name w:val="Footer Char"/>
    <w:basedOn w:val="667"/>
    <w:uiPriority w:val="99"/>
  </w:style>
  <w:style w:type="paragraph" w:styleId="693">
    <w:name w:val="Caption"/>
    <w:basedOn w:val="657"/>
    <w:next w:val="657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94" w:customStyle="1">
    <w:name w:val="Нижний колонтитул Знак"/>
    <w:link w:val="691"/>
    <w:uiPriority w:val="99"/>
  </w:style>
  <w:style w:type="table" w:styleId="695">
    <w:name w:val="Table Grid"/>
    <w:basedOn w:val="66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Table Grid Light"/>
    <w:basedOn w:val="66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Plain Table 1"/>
    <w:basedOn w:val="668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 w:customStyle="1">
    <w:name w:val="Plain Table 2"/>
    <w:basedOn w:val="66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Plain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 w:customStyle="1">
    <w:name w:val="Plain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Plain Table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 w:customStyle="1">
    <w:name w:val="Grid Table 4 - Accent 1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25" w:customStyle="1">
    <w:name w:val="Grid Table 4 - Accent 2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6" w:customStyle="1">
    <w:name w:val="Grid Table 4 - Accent 3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7" w:customStyle="1">
    <w:name w:val="Grid Table 4 - Accent 4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8" w:customStyle="1">
    <w:name w:val="Grid Table 4 - Accent 5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29" w:customStyle="1">
    <w:name w:val="Grid Table 4 - Accent 6"/>
    <w:basedOn w:val="66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0" w:customStyle="1">
    <w:name w:val="Grid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8" w:customStyle="1">
    <w:name w:val="Grid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9" w:customStyle="1">
    <w:name w:val="Grid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0" w:customStyle="1">
    <w:name w:val="Grid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1" w:customStyle="1">
    <w:name w:val="Grid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2" w:customStyle="1">
    <w:name w:val="Grid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3" w:customStyle="1">
    <w:name w:val="Grid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4" w:customStyle="1">
    <w:name w:val="Grid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Grid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Grid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List Table 1 Light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5" w:customStyle="1">
    <w:name w:val="List Table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5 Dark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6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7" w:customStyle="1">
    <w:name w:val="List Table 6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88" w:customStyle="1">
    <w:name w:val="List Table 6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9" w:customStyle="1">
    <w:name w:val="List Table 6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0" w:customStyle="1">
    <w:name w:val="List Table 6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1" w:customStyle="1">
    <w:name w:val="List Table 6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92" w:customStyle="1">
    <w:name w:val="List Table 6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3" w:customStyle="1">
    <w:name w:val="List Table 7 Colorful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st Table 7 Colorful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st Table 7 Colorful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ned - Accent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Lined - Accent 1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2" w:customStyle="1">
    <w:name w:val="Lined - Accent 2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Lined - Accent 3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Lined - Accent 4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Lined - Accent 5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6" w:customStyle="1">
    <w:name w:val="Lined - Accent 6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 &amp; Lined - Accent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8" w:customStyle="1">
    <w:name w:val="Bordered &amp; Lined - Accent 1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9" w:customStyle="1">
    <w:name w:val="Bordered &amp; Lined - Accent 2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0" w:customStyle="1">
    <w:name w:val="Bordered &amp; Lined - Accent 3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1" w:customStyle="1">
    <w:name w:val="Bordered &amp; Lined - Accent 4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2" w:customStyle="1">
    <w:name w:val="Bordered &amp; Lined - Accent 5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13" w:customStyle="1">
    <w:name w:val="Bordered &amp; Lined - Accent 6"/>
    <w:basedOn w:val="66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4" w:customStyle="1">
    <w:name w:val="Bordered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5" w:customStyle="1">
    <w:name w:val="Bordered - Accent 1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16" w:customStyle="1">
    <w:name w:val="Bordered - Accent 2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7" w:customStyle="1">
    <w:name w:val="Bordered - Accent 3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8" w:customStyle="1">
    <w:name w:val="Bordered - Accent 4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9" w:customStyle="1">
    <w:name w:val="Bordered - Accent 5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20" w:customStyle="1">
    <w:name w:val="Bordered - Accent 6"/>
    <w:basedOn w:val="66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1">
    <w:name w:val="Hyperlink"/>
    <w:uiPriority w:val="99"/>
    <w:unhideWhenUsed/>
    <w:rPr>
      <w:color w:val="0563c1" w:themeColor="hyperlink"/>
      <w:u w:val="single"/>
    </w:rPr>
  </w:style>
  <w:style w:type="paragraph" w:styleId="822">
    <w:name w:val="footnote text"/>
    <w:basedOn w:val="657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 w:customStyle="1">
    <w:name w:val="Текст сноски Знак"/>
    <w:link w:val="822"/>
    <w:uiPriority w:val="99"/>
    <w:rPr>
      <w:sz w:val="18"/>
    </w:rPr>
  </w:style>
  <w:style w:type="character" w:styleId="824">
    <w:name w:val="footnote reference"/>
    <w:basedOn w:val="667"/>
    <w:uiPriority w:val="99"/>
    <w:unhideWhenUsed/>
    <w:rPr>
      <w:vertAlign w:val="superscript"/>
    </w:rPr>
  </w:style>
  <w:style w:type="paragraph" w:styleId="825">
    <w:name w:val="endnote text"/>
    <w:basedOn w:val="657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 w:customStyle="1">
    <w:name w:val="Текст концевой сноски Знак"/>
    <w:link w:val="825"/>
    <w:uiPriority w:val="99"/>
    <w:rPr>
      <w:sz w:val="20"/>
    </w:rPr>
  </w:style>
  <w:style w:type="character" w:styleId="827">
    <w:name w:val="endnote reference"/>
    <w:basedOn w:val="667"/>
    <w:uiPriority w:val="99"/>
    <w:semiHidden/>
    <w:unhideWhenUsed/>
    <w:rPr>
      <w:vertAlign w:val="superscript"/>
    </w:rPr>
  </w:style>
  <w:style w:type="paragraph" w:styleId="828">
    <w:name w:val="toc 1"/>
    <w:basedOn w:val="657"/>
    <w:next w:val="657"/>
    <w:uiPriority w:val="39"/>
    <w:unhideWhenUsed/>
    <w:pPr>
      <w:spacing w:after="57"/>
    </w:pPr>
  </w:style>
  <w:style w:type="paragraph" w:styleId="829">
    <w:name w:val="toc 2"/>
    <w:basedOn w:val="657"/>
    <w:next w:val="657"/>
    <w:uiPriority w:val="39"/>
    <w:unhideWhenUsed/>
    <w:pPr>
      <w:ind w:left="283"/>
      <w:spacing w:after="57"/>
    </w:pPr>
  </w:style>
  <w:style w:type="paragraph" w:styleId="830">
    <w:name w:val="toc 3"/>
    <w:basedOn w:val="657"/>
    <w:next w:val="657"/>
    <w:uiPriority w:val="39"/>
    <w:unhideWhenUsed/>
    <w:pPr>
      <w:ind w:left="567"/>
      <w:spacing w:after="57"/>
    </w:pPr>
  </w:style>
  <w:style w:type="paragraph" w:styleId="831">
    <w:name w:val="toc 4"/>
    <w:basedOn w:val="657"/>
    <w:next w:val="657"/>
    <w:uiPriority w:val="39"/>
    <w:unhideWhenUsed/>
    <w:pPr>
      <w:ind w:left="850"/>
      <w:spacing w:after="57"/>
    </w:pPr>
  </w:style>
  <w:style w:type="paragraph" w:styleId="832">
    <w:name w:val="toc 5"/>
    <w:basedOn w:val="657"/>
    <w:next w:val="657"/>
    <w:uiPriority w:val="39"/>
    <w:unhideWhenUsed/>
    <w:pPr>
      <w:ind w:left="1134"/>
      <w:spacing w:after="57"/>
    </w:pPr>
  </w:style>
  <w:style w:type="paragraph" w:styleId="833">
    <w:name w:val="toc 6"/>
    <w:basedOn w:val="657"/>
    <w:next w:val="657"/>
    <w:uiPriority w:val="39"/>
    <w:unhideWhenUsed/>
    <w:pPr>
      <w:ind w:left="1417"/>
      <w:spacing w:after="57"/>
    </w:pPr>
  </w:style>
  <w:style w:type="paragraph" w:styleId="834">
    <w:name w:val="toc 7"/>
    <w:basedOn w:val="657"/>
    <w:next w:val="657"/>
    <w:uiPriority w:val="39"/>
    <w:unhideWhenUsed/>
    <w:pPr>
      <w:ind w:left="1701"/>
      <w:spacing w:after="57"/>
    </w:pPr>
  </w:style>
  <w:style w:type="paragraph" w:styleId="835">
    <w:name w:val="toc 8"/>
    <w:basedOn w:val="657"/>
    <w:next w:val="657"/>
    <w:uiPriority w:val="39"/>
    <w:unhideWhenUsed/>
    <w:pPr>
      <w:ind w:left="1984"/>
      <w:spacing w:after="57"/>
    </w:pPr>
  </w:style>
  <w:style w:type="paragraph" w:styleId="836">
    <w:name w:val="toc 9"/>
    <w:basedOn w:val="657"/>
    <w:next w:val="657"/>
    <w:uiPriority w:val="39"/>
    <w:unhideWhenUsed/>
    <w:pPr>
      <w:ind w:left="2268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657"/>
    <w:next w:val="657"/>
    <w:uiPriority w:val="99"/>
    <w:unhideWhenUsed/>
    <w:pPr>
      <w:spacing w:after="0"/>
    </w:pPr>
  </w:style>
  <w:style w:type="paragraph" w:styleId="839" w:customStyle="1">
    <w:name w:val="ConsPlusNormal"/>
    <w:link w:val="840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840" w:customStyle="1">
    <w:name w:val="ConsPlusNormal Знак"/>
    <w:link w:val="839"/>
    <w:rPr>
      <w:rFonts w:ascii="Arial" w:hAnsi="Arial" w:cs="Arial"/>
      <w:sz w:val="20"/>
      <w:szCs w:val="20"/>
    </w:rPr>
  </w:style>
  <w:style w:type="paragraph" w:styleId="841">
    <w:name w:val="Normal (Web)"/>
    <w:basedOn w:val="65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8</cp:revision>
  <dcterms:created xsi:type="dcterms:W3CDTF">2023-08-22T11:11:00Z</dcterms:created>
  <dcterms:modified xsi:type="dcterms:W3CDTF">2023-08-22T13:17:36Z</dcterms:modified>
</cp:coreProperties>
</file>