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</w:r>
      <w:r/>
    </w:p>
    <w:p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</w:r>
      <w:r/>
    </w:p>
    <w:p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/>
      <w:bookmarkStart w:id="0" w:name="Par118"/>
      <w:r/>
      <w:bookmarkEnd w:id="0"/>
      <w:r/>
      <w:r/>
    </w:p>
    <w:p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Отчет </w:t>
      </w:r>
      <w:r/>
    </w:p>
    <w:p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об оценке фактического воздействия</w:t>
      </w:r>
      <w:r/>
    </w:p>
    <w:p>
      <w:pPr>
        <w:ind w:firstLine="709"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</w:r>
      <w:r/>
    </w:p>
    <w:p>
      <w:pPr>
        <w:ind w:firstLine="567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1. Общая информация:</w:t>
      </w:r>
      <w:r/>
    </w:p>
    <w:p>
      <w:pPr>
        <w:ind w:firstLine="567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1.1. Наименование нормативного правового акта: </w:t>
      </w:r>
      <w:r>
        <w:rPr>
          <w:sz w:val="25"/>
          <w:szCs w:val="25"/>
        </w:rPr>
        <w:t xml:space="preserve">постановление Правительства Белгородской области </w:t>
      </w:r>
      <w:r>
        <w:rPr>
          <w:sz w:val="26"/>
          <w:szCs w:val="26"/>
        </w:rPr>
        <w:t xml:space="preserve">от 27 января 2020 года № 25-пп «Об утверждении Порядка осуществления деятельности по обращению с животными без владельцев на территории Белгородской области</w:t>
      </w:r>
      <w:r>
        <w:rPr>
          <w:sz w:val="25"/>
          <w:szCs w:val="25"/>
        </w:rPr>
        <w:t xml:space="preserve">».</w:t>
      </w:r>
      <w:r/>
    </w:p>
    <w:p>
      <w:pPr>
        <w:pStyle w:val="884"/>
        <w:ind w:firstLine="567"/>
        <w:jc w:val="both"/>
        <w:spacing w:before="0" w:beforeAutospacing="0" w:after="0" w:afterAutospacing="0" w:line="288" w:lineRule="atLeast"/>
        <w:rPr>
          <w:sz w:val="25"/>
          <w:szCs w:val="25"/>
        </w:rPr>
      </w:pPr>
      <w:r>
        <w:rPr>
          <w:sz w:val="25"/>
          <w:szCs w:val="25"/>
        </w:rPr>
        <w:t xml:space="preserve">1.2. Реквизиты и источники официального опубликования нормативного правового акта и сведения о вносившихся в нормативный правовой акт изменениях (при </w:t>
      </w:r>
      <w:r>
        <w:rPr>
          <w:sz w:val="25"/>
          <w:szCs w:val="25"/>
        </w:rPr>
        <w:t xml:space="preserve">наличии) </w:t>
      </w:r>
      <w:r>
        <w:rPr>
          <w:sz w:val="25"/>
          <w:szCs w:val="25"/>
        </w:rPr>
        <w:t xml:space="preserve">  </w:t>
      </w:r>
      <w:r>
        <w:rPr>
          <w:sz w:val="25"/>
          <w:szCs w:val="25"/>
        </w:rPr>
        <w:t xml:space="preserve">                  </w:t>
      </w:r>
      <w:r>
        <w:rPr>
          <w:sz w:val="25"/>
          <w:szCs w:val="25"/>
        </w:rPr>
        <w:t xml:space="preserve">(в том числе вид, дата, номер, наименование, редакция, источник опубликования):</w:t>
      </w:r>
      <w:r/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Правительства Белгородской области </w:t>
      </w:r>
      <w:r>
        <w:rPr>
          <w:sz w:val="26"/>
          <w:szCs w:val="26"/>
        </w:rPr>
        <w:t xml:space="preserve">27.01.2020 года № 25-пп            </w:t>
      </w:r>
      <w:r>
        <w:rPr>
          <w:sz w:val="26"/>
          <w:szCs w:val="26"/>
        </w:rPr>
        <w:t xml:space="preserve">   «</w:t>
      </w:r>
      <w:r>
        <w:rPr>
          <w:sz w:val="26"/>
          <w:szCs w:val="26"/>
        </w:rPr>
        <w:t xml:space="preserve">Об утверждении Порядка осуществления деятельности по обращению с животными без владельцев на территории Белгородской области»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</w:t>
      </w:r>
      <w:r>
        <w:rPr>
          <w:bCs/>
          <w:sz w:val="26"/>
          <w:szCs w:val="26"/>
        </w:rPr>
        <w:t xml:space="preserve">о</w:t>
      </w:r>
      <w:r>
        <w:rPr>
          <w:sz w:val="26"/>
          <w:szCs w:val="26"/>
        </w:rPr>
        <w:t xml:space="preserve">фициальн</w:t>
      </w:r>
      <w:r>
        <w:rPr>
          <w:sz w:val="26"/>
          <w:szCs w:val="26"/>
        </w:rPr>
        <w:t xml:space="preserve">ый</w:t>
      </w:r>
      <w:r>
        <w:rPr>
          <w:sz w:val="26"/>
          <w:szCs w:val="26"/>
        </w:rPr>
        <w:t xml:space="preserve"> интернет-портал правовой </w:t>
      </w:r>
      <w:r>
        <w:rPr>
          <w:sz w:val="26"/>
          <w:szCs w:val="26"/>
        </w:rPr>
        <w:t xml:space="preserve">информации (</w:t>
      </w:r>
      <w:hyperlink r:id="rId12" w:tooltip="&lt;div class=&quot;doc www&quot;&gt;&lt;span class=&quot;aligner&quot;&gt;&lt;div class=&quot;icon listDocWWW-16&quot;&gt;&lt;/div&gt;&lt;/span&gt;http://www.pravo.gov.ru&lt;/div&gt;" w:history="1">
        <w:r>
          <w:rPr>
            <w:rStyle w:val="851"/>
            <w:rFonts w:eastAsia="Arial"/>
            <w:color w:val="auto"/>
            <w:sz w:val="26"/>
            <w:szCs w:val="26"/>
            <w:u w:val="none"/>
          </w:rPr>
          <w:t xml:space="preserve">http://www.pravo.gov.ru</w:t>
        </w:r>
      </w:hyperlink>
      <w:r>
        <w:rPr>
          <w:rStyle w:val="851"/>
          <w:rFonts w:eastAsia="Arial"/>
          <w:color w:val="auto"/>
          <w:sz w:val="26"/>
          <w:szCs w:val="26"/>
          <w:u w:val="none"/>
        </w:rPr>
        <w:t xml:space="preserve">)</w:t>
      </w:r>
      <w:r>
        <w:rPr>
          <w:sz w:val="26"/>
          <w:szCs w:val="26"/>
        </w:rPr>
        <w:t xml:space="preserve"> 04.02.2020 года), </w:t>
      </w:r>
      <w:r/>
    </w:p>
    <w:p>
      <w:pPr>
        <w:pStyle w:val="884"/>
        <w:ind w:firstLine="567"/>
        <w:jc w:val="both"/>
        <w:spacing w:before="0" w:beforeAutospacing="0" w:after="0" w:afterAutospacing="0" w:line="288" w:lineRule="atLeast"/>
        <w:rPr>
          <w:sz w:val="26"/>
          <w:szCs w:val="26"/>
        </w:rPr>
      </w:pPr>
      <w:r>
        <w:rPr>
          <w:sz w:val="26"/>
          <w:szCs w:val="26"/>
        </w:rPr>
        <w:t xml:space="preserve">постановление Правительства Белгородской области от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15.09.2020 года № 446-пп «</w:t>
      </w:r>
      <w:r>
        <w:rPr>
          <w:sz w:val="26"/>
          <w:szCs w:val="26"/>
        </w:rPr>
        <w:t xml:space="preserve">О внесении изменений в постановления Правительства Белгородской области                       от 30.12.2019 года № 608-пп, от 27 января 2020 года № 25-пп»</w:t>
      </w:r>
      <w:r>
        <w:rPr>
          <w:bCs/>
          <w:sz w:val="26"/>
          <w:szCs w:val="26"/>
        </w:rPr>
        <w:t xml:space="preserve"> (</w:t>
      </w:r>
      <w:r>
        <w:rPr>
          <w:sz w:val="26"/>
          <w:szCs w:val="26"/>
        </w:rPr>
        <w:t xml:space="preserve">сайт «Вестник нормативных правовых актов Белгородской области» (http://www.zakon.belregion.ru) 21.09.2020 года)</w:t>
      </w:r>
      <w:r>
        <w:rPr>
          <w:bCs/>
          <w:sz w:val="26"/>
          <w:szCs w:val="26"/>
        </w:rPr>
        <w:t xml:space="preserve">;</w:t>
      </w:r>
      <w:r/>
    </w:p>
    <w:p>
      <w:pPr>
        <w:pStyle w:val="884"/>
        <w:ind w:firstLine="567"/>
        <w:jc w:val="both"/>
        <w:spacing w:before="0" w:beforeAutospacing="0" w:after="0" w:afterAutospacing="0" w:line="288" w:lineRule="atLeast"/>
        <w:rPr>
          <w:sz w:val="26"/>
          <w:szCs w:val="26"/>
        </w:rPr>
      </w:pPr>
      <w:r>
        <w:rPr>
          <w:sz w:val="26"/>
          <w:szCs w:val="26"/>
        </w:rPr>
        <w:t xml:space="preserve">постановление Правительства Белгородской области </w:t>
      </w:r>
      <w:r>
        <w:rPr>
          <w:bCs/>
          <w:sz w:val="26"/>
          <w:szCs w:val="26"/>
        </w:rPr>
        <w:t xml:space="preserve">от 27.02.2023 года                       № 93-пп</w:t>
      </w:r>
      <w:r>
        <w:rPr>
          <w:sz w:val="26"/>
          <w:szCs w:val="26"/>
        </w:rPr>
        <w:t xml:space="preserve"> «О внесении изменений в некоторые постановления Правительства Белгородской области» </w:t>
      </w:r>
      <w:r>
        <w:rPr>
          <w:bCs/>
          <w:sz w:val="26"/>
          <w:szCs w:val="26"/>
        </w:rPr>
        <w:t xml:space="preserve">(</w:t>
      </w:r>
      <w:r>
        <w:rPr>
          <w:sz w:val="26"/>
          <w:szCs w:val="26"/>
        </w:rPr>
        <w:t xml:space="preserve">официальный интернет-портал правовой информации (</w:t>
      </w:r>
      <w:hyperlink r:id="rId13" w:tooltip="&lt;div class=&quot;doc www&quot;&gt;&lt;span class=&quot;aligner&quot;&gt;&lt;div class=&quot;icon listDocWWW-16&quot;&gt;&lt;/div&gt;&lt;/span&gt;http://pravo.gov.ru&lt;/div&gt;" w:history="1">
        <w:r>
          <w:rPr>
            <w:rStyle w:val="851"/>
            <w:rFonts w:eastAsia="Arial"/>
            <w:color w:val="auto"/>
            <w:sz w:val="26"/>
            <w:szCs w:val="26"/>
            <w:u w:val="none"/>
          </w:rPr>
          <w:t xml:space="preserve">http://pravo.gov.ru</w:t>
        </w:r>
      </w:hyperlink>
      <w:r>
        <w:rPr>
          <w:sz w:val="26"/>
          <w:szCs w:val="26"/>
        </w:rPr>
        <w:t xml:space="preserve">) 01.03.2023 года</w:t>
      </w:r>
      <w:r>
        <w:rPr>
          <w:sz w:val="26"/>
          <w:szCs w:val="26"/>
        </w:rPr>
        <w:t xml:space="preserve">)</w:t>
      </w:r>
      <w:r>
        <w:rPr>
          <w:sz w:val="26"/>
          <w:szCs w:val="26"/>
        </w:rPr>
        <w:t xml:space="preserve">.</w:t>
      </w:r>
      <w:r/>
    </w:p>
    <w:p>
      <w:pPr>
        <w:pStyle w:val="884"/>
        <w:ind w:firstLine="540"/>
        <w:jc w:val="both"/>
        <w:spacing w:before="0" w:beforeAutospacing="0" w:after="0" w:afterAutospacing="0" w:line="288" w:lineRule="atLeast"/>
        <w:rPr>
          <w:sz w:val="25"/>
          <w:szCs w:val="25"/>
        </w:rPr>
      </w:pPr>
      <w:r>
        <w:rPr>
          <w:sz w:val="25"/>
          <w:szCs w:val="25"/>
        </w:rPr>
        <w:t xml:space="preserve">1.3. Дата вступления в силу акта и его отдельных положений: документ вступил в силу с 1 января 2020 года и действует до 1 января 2026 года.</w:t>
      </w:r>
      <w:r/>
    </w:p>
    <w:p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1.4. Сроки проведения публичного обсуждения нормативного правового акта: </w:t>
      </w:r>
      <w:r/>
    </w:p>
    <w:p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начало «</w:t>
      </w:r>
      <w:r>
        <w:rPr>
          <w:sz w:val="25"/>
          <w:szCs w:val="25"/>
        </w:rPr>
        <w:t xml:space="preserve">30</w:t>
      </w:r>
      <w:r>
        <w:rPr>
          <w:sz w:val="25"/>
          <w:szCs w:val="25"/>
        </w:rPr>
        <w:t xml:space="preserve">» июля 2025 года;</w:t>
      </w:r>
      <w:r/>
    </w:p>
    <w:p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окончание </w:t>
      </w:r>
      <w:r>
        <w:rPr>
          <w:sz w:val="25"/>
          <w:szCs w:val="25"/>
        </w:rPr>
        <w:t xml:space="preserve">«2</w:t>
      </w:r>
      <w:r>
        <w:rPr>
          <w:sz w:val="25"/>
          <w:szCs w:val="25"/>
        </w:rPr>
        <w:t xml:space="preserve">6</w:t>
      </w:r>
      <w:r>
        <w:rPr>
          <w:sz w:val="25"/>
          <w:szCs w:val="25"/>
        </w:rPr>
        <w:t xml:space="preserve">» августа 2025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года.</w:t>
      </w:r>
      <w:r/>
    </w:p>
    <w:p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1.5. Исполнительной орган Белгородской области – составитель отчета </w:t>
      </w:r>
      <w:r>
        <w:rPr>
          <w:sz w:val="25"/>
          <w:szCs w:val="25"/>
        </w:rPr>
        <w:br/>
        <w:t xml:space="preserve">об оценке фактического воздействия (орган – разработчик): управление ветеринарии Белгородской области.</w:t>
      </w:r>
      <w:r/>
    </w:p>
    <w:p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1.6. Контактная информация об исполнителе в органе-разработчике:</w:t>
      </w:r>
      <w:r/>
    </w:p>
    <w:p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Герасимова Ирина Алексеевна, заместитель начальника отдела правового и ресурсно-административного обеспечения</w:t>
      </w:r>
      <w:r/>
    </w:p>
    <w:p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  <w:lang w:eastAsia="en-US"/>
        </w:rPr>
        <w:t xml:space="preserve">Тел.: (4722) 26-29-44, адрес электронной почты: </w:t>
      </w:r>
      <w:hyperlink r:id="rId14" w:tooltip="mailto:gerasimova_ia@belvet.belregion.ru" w:history="1">
        <w:r>
          <w:rPr>
            <w:rStyle w:val="851"/>
            <w:color w:val="auto"/>
            <w:sz w:val="25"/>
            <w:szCs w:val="25"/>
            <w:u w:val="none"/>
            <w:lang w:eastAsia="en-US"/>
          </w:rPr>
          <w:t xml:space="preserve">gerasimova_ia@belvet.belregion.ru</w:t>
        </w:r>
      </w:hyperlink>
      <w:r/>
      <w:bookmarkStart w:id="1" w:name="_Hlk125630251"/>
      <w:r/>
      <w:r/>
    </w:p>
    <w:p>
      <w:pPr>
        <w:ind w:firstLine="567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</w:r>
      <w:r/>
    </w:p>
    <w:p>
      <w:pPr>
        <w:ind w:firstLine="567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2. Результаты проведения оценки регулирующего воздействия </w:t>
      </w:r>
      <w:r>
        <w:rPr>
          <w:bCs/>
          <w:sz w:val="25"/>
          <w:szCs w:val="25"/>
        </w:rPr>
        <w:br/>
        <w:t xml:space="preserve">в отношении проекта акта (при наличии):</w:t>
      </w:r>
      <w:r>
        <w:rPr>
          <w:sz w:val="25"/>
          <w:szCs w:val="25"/>
        </w:rPr>
        <w:t xml:space="preserve"> не проводилась</w:t>
      </w:r>
      <w:r/>
    </w:p>
    <w:p>
      <w:pPr>
        <w:ind w:firstLine="567"/>
        <w:jc w:val="both"/>
        <w:rPr>
          <w:bCs/>
          <w:sz w:val="25"/>
          <w:szCs w:val="25"/>
        </w:rPr>
      </w:pPr>
      <w:r>
        <w:rPr>
          <w:sz w:val="25"/>
          <w:szCs w:val="25"/>
        </w:rPr>
        <w:t xml:space="preserve">2.1. </w:t>
      </w:r>
      <w:r>
        <w:rPr>
          <w:bCs/>
          <w:sz w:val="25"/>
          <w:szCs w:val="25"/>
        </w:rPr>
        <w:t xml:space="preserve">Сроки проведения публичного обсуждения проекта нормативного правового акта</w:t>
      </w:r>
      <w:r>
        <w:rPr>
          <w:sz w:val="25"/>
          <w:szCs w:val="25"/>
        </w:rPr>
        <w:t xml:space="preserve">: не проводились.</w:t>
      </w:r>
      <w:r/>
    </w:p>
    <w:p>
      <w:pPr>
        <w:ind w:firstLine="567"/>
        <w:jc w:val="both"/>
        <w:rPr>
          <w:bCs/>
          <w:sz w:val="25"/>
          <w:szCs w:val="25"/>
        </w:rPr>
      </w:pPr>
      <w:r>
        <w:rPr>
          <w:sz w:val="25"/>
          <w:szCs w:val="25"/>
        </w:rPr>
        <w:t xml:space="preserve">2.2. Исполнительный орган Белгородской области – составитель отчета об оценке регулирующего воздействия: -</w:t>
      </w:r>
      <w:bookmarkEnd w:id="1"/>
      <w:r/>
      <w:r/>
    </w:p>
    <w:p>
      <w:pPr>
        <w:ind w:firstLine="567"/>
        <w:jc w:val="both"/>
        <w:rPr>
          <w:bCs/>
          <w:sz w:val="25"/>
          <w:szCs w:val="25"/>
        </w:rPr>
      </w:pPr>
      <w:r>
        <w:rPr>
          <w:sz w:val="25"/>
          <w:szCs w:val="25"/>
        </w:rPr>
        <w:t xml:space="preserve">2.3 Сведения о лицах, представивших предложения: -</w:t>
      </w:r>
      <w:r/>
    </w:p>
    <w:p>
      <w:pPr>
        <w:ind w:firstLine="567"/>
        <w:jc w:val="both"/>
        <w:rPr>
          <w:bCs/>
          <w:sz w:val="25"/>
          <w:szCs w:val="25"/>
        </w:rPr>
      </w:pPr>
      <w:r>
        <w:rPr>
          <w:sz w:val="25"/>
          <w:szCs w:val="25"/>
        </w:rPr>
        <w:t xml:space="preserve">2.4. Сведения о структурных подразделениях органа-разработчика, рассмотревших представленные предложения: -</w:t>
      </w:r>
      <w:r/>
    </w:p>
    <w:p>
      <w:pPr>
        <w:ind w:firstLine="567"/>
        <w:jc w:val="both"/>
        <w:rPr>
          <w:bCs/>
          <w:sz w:val="25"/>
          <w:szCs w:val="25"/>
        </w:rPr>
      </w:pPr>
      <w:r>
        <w:rPr>
          <w:sz w:val="25"/>
          <w:szCs w:val="25"/>
        </w:rPr>
        <w:t xml:space="preserve">2.5. Полный электронный адрес размещения документов по оценке регулирующего воздействия проекта нормативного правового акта: -</w:t>
      </w:r>
      <w:r/>
    </w:p>
    <w:p>
      <w:pPr>
        <w:ind w:firstLine="567"/>
        <w:jc w:val="both"/>
        <w:rPr>
          <w:bCs/>
          <w:sz w:val="25"/>
          <w:szCs w:val="25"/>
        </w:rPr>
      </w:pPr>
      <w:r>
        <w:rPr>
          <w:sz w:val="25"/>
          <w:szCs w:val="25"/>
        </w:rPr>
        <w:t xml:space="preserve">2.6. Иные сведения о проведении публичного обсуждения проекта нормативного правового акта:  - </w:t>
      </w:r>
      <w:r/>
    </w:p>
    <w:p>
      <w:pPr>
        <w:ind w:firstLine="567"/>
        <w:jc w:val="both"/>
        <w:rPr>
          <w:bCs/>
          <w:sz w:val="25"/>
          <w:szCs w:val="25"/>
        </w:rPr>
      </w:pPr>
      <w:r>
        <w:rPr>
          <w:sz w:val="25"/>
          <w:szCs w:val="25"/>
        </w:rPr>
        <w:t xml:space="preserve">2.7. Дата и реквизиты заключения об оценке регулирующего воздействия проекта нормативного правового акта: оценка регулирующего воздействия не проводилась.</w:t>
      </w:r>
      <w:r/>
    </w:p>
    <w:p>
      <w:pPr>
        <w:ind w:firstLine="567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</w:r>
      <w:r/>
    </w:p>
    <w:p>
      <w:pPr>
        <w:ind w:firstLine="567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3</w:t>
      </w:r>
      <w:r>
        <w:rPr>
          <w:bCs/>
          <w:color w:val="ff0000"/>
          <w:sz w:val="25"/>
          <w:szCs w:val="25"/>
        </w:rPr>
        <w:t xml:space="preserve">. </w:t>
      </w:r>
      <w:r>
        <w:rPr>
          <w:bCs/>
          <w:sz w:val="25"/>
          <w:szCs w:val="25"/>
        </w:rPr>
        <w:t xml:space="preserve">Результаты проведения предыдущих оценок фактического воздействия нормативного правового акта (при наличии): не проводилась</w:t>
      </w:r>
      <w:r/>
    </w:p>
    <w:p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3.1. Сроки проведения публичного обсуждения нормативного правового акта: не проводились.</w:t>
      </w:r>
      <w:r/>
    </w:p>
    <w:p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3.2. Исполнительный орган Белгородской области – составитель отчета об оценке фактического воздействия: -</w:t>
      </w:r>
      <w:r/>
    </w:p>
    <w:p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3.3. Контактная информация об исполнителе в органе-разработчике: -</w:t>
      </w:r>
      <w:r/>
    </w:p>
    <w:p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3.4. Дата и реквизиты заключения об оценке фактического воздействия нормативного правового акта: оценка фактического воздействия ранее не проводилась.</w:t>
      </w:r>
      <w:r/>
    </w:p>
    <w:p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3.5. Полный электронный адрес размещения документов по оценке фактического воздействия нормативного правового акта: -</w:t>
      </w:r>
      <w:r/>
    </w:p>
    <w:p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4. Сравнительный анализ установленных в сводном отчете прогнозных показателей (индикаторов) достижения целей и их фактических значений:</w:t>
      </w:r>
      <w:r/>
    </w:p>
    <w:tbl>
      <w:tblPr>
        <w:tblStyle w:val="88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1417"/>
        <w:gridCol w:w="1276"/>
        <w:gridCol w:w="2410"/>
        <w:gridCol w:w="1134"/>
      </w:tblGrid>
      <w:tr>
        <w:trPr/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pacing w:val="-4"/>
                <w:sz w:val="21"/>
                <w:szCs w:val="21"/>
              </w:rPr>
            </w:pPr>
            <w:r>
              <w:rPr>
                <w:b/>
                <w:spacing w:val="-4"/>
                <w:sz w:val="21"/>
                <w:szCs w:val="21"/>
              </w:rPr>
              <w:t xml:space="preserve">Цель </w:t>
            </w:r>
            <w:r/>
          </w:p>
          <w:p>
            <w:pPr>
              <w:jc w:val="center"/>
              <w:rPr>
                <w:b/>
                <w:spacing w:val="-4"/>
                <w:sz w:val="21"/>
                <w:szCs w:val="21"/>
              </w:rPr>
            </w:pPr>
            <w:r>
              <w:rPr>
                <w:b/>
                <w:spacing w:val="-4"/>
                <w:sz w:val="21"/>
                <w:szCs w:val="21"/>
              </w:rPr>
              <w:t xml:space="preserve">р</w:t>
            </w:r>
            <w:r>
              <w:rPr>
                <w:b/>
                <w:spacing w:val="-4"/>
                <w:sz w:val="21"/>
                <w:szCs w:val="21"/>
              </w:rPr>
              <w:t xml:space="preserve">егулиро</w:t>
            </w:r>
            <w:r>
              <w:rPr>
                <w:b/>
                <w:spacing w:val="-4"/>
                <w:sz w:val="21"/>
                <w:szCs w:val="21"/>
              </w:rPr>
              <w:t xml:space="preserve">вания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достижения целей регулирования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Способ расчета показателя (индикатор)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Значение </w:t>
            </w:r>
            <w:r/>
          </w:p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до введения </w:t>
            </w:r>
            <w:r/>
          </w:p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правового </w:t>
            </w:r>
            <w:r>
              <w:rPr>
                <w:b/>
                <w:sz w:val="21"/>
                <w:szCs w:val="21"/>
              </w:rPr>
              <w:t xml:space="preserve">регулиро-вания</w:t>
            </w:r>
            <w:r/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Текущее значение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Плано</w:t>
            </w:r>
            <w:r>
              <w:rPr>
                <w:b/>
                <w:sz w:val="21"/>
                <w:szCs w:val="21"/>
              </w:rPr>
              <w:t xml:space="preserve">-</w:t>
            </w:r>
            <w:r/>
          </w:p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вое значение</w:t>
            </w:r>
            <w:r/>
          </w:p>
        </w:tc>
      </w:tr>
      <w:tr>
        <w:trPr>
          <w:trHeight w:val="285"/>
        </w:trPr>
        <w:tc>
          <w:tcPr>
            <w:tcW w:w="1701" w:type="dxa"/>
            <w:textDirection w:val="lrTb"/>
            <w:noWrap w:val="false"/>
          </w:tcPr>
          <w:p>
            <w:pPr>
              <w:pStyle w:val="884"/>
              <w:jc w:val="both"/>
              <w:spacing w:before="0" w:beforeAutospacing="0" w:after="0" w:afterAutospacing="0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Организация мероприятий при осуществлении деятельности </w:t>
            </w:r>
            <w:r/>
          </w:p>
          <w:p>
            <w:pPr>
              <w:pStyle w:val="884"/>
              <w:jc w:val="both"/>
              <w:spacing w:before="0" w:beforeAutospacing="0" w:after="0" w:afterAutospacing="0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 обращению </w:t>
            </w:r>
            <w:r/>
          </w:p>
          <w:p>
            <w:pPr>
              <w:pStyle w:val="884"/>
              <w:jc w:val="both"/>
              <w:spacing w:before="0" w:beforeAutospacing="0" w:after="0" w:afterAutospacing="0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 животными без владельцев </w:t>
            </w:r>
            <w:r/>
          </w:p>
          <w:p>
            <w:pPr>
              <w:pStyle w:val="884"/>
              <w:jc w:val="both"/>
              <w:spacing w:before="0" w:beforeAutospacing="0" w:after="0" w:afterAutospacing="0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 территории Белгородской области</w:t>
            </w:r>
            <w:r/>
          </w:p>
          <w:p>
            <w:pPr>
              <w:pStyle w:val="884"/>
              <w:jc w:val="both"/>
              <w:spacing w:before="0" w:beforeAutospacing="0" w:after="0" w:afterAutospacing="0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84"/>
              <w:jc w:val="both"/>
              <w:spacing w:before="0" w:beforeAutospacing="0" w:after="0" w:afterAutospacing="0" w:line="216" w:lineRule="auto"/>
              <w:rPr>
                <w:rFonts w:eastAsia="Arial"/>
                <w:sz w:val="21"/>
                <w:szCs w:val="21"/>
              </w:rPr>
            </w:pPr>
            <w:r>
              <w:rPr>
                <w:rFonts w:eastAsia="Arial"/>
                <w:sz w:val="21"/>
                <w:szCs w:val="21"/>
              </w:rPr>
              <w:t xml:space="preserve">Отсутствие нарушений ОТ, установленных для индивидуальных предпринимателей и юридических лиц, осуществляющих деятельность по</w:t>
            </w:r>
            <w:r>
              <w:rPr>
                <w:rFonts w:eastAsia="Arial"/>
                <w:sz w:val="21"/>
                <w:szCs w:val="21"/>
              </w:rPr>
              <w:t xml:space="preserve"> </w:t>
            </w:r>
            <w:r>
              <w:rPr>
                <w:rFonts w:eastAsia="Arial"/>
                <w:sz w:val="21"/>
                <w:szCs w:val="21"/>
              </w:rPr>
              <w:t xml:space="preserve">отлову животных без </w:t>
            </w:r>
            <w:r>
              <w:rPr>
                <w:rFonts w:eastAsia="Arial"/>
                <w:sz w:val="21"/>
                <w:szCs w:val="21"/>
              </w:rPr>
              <w:t xml:space="preserve">владельцев,</w:t>
            </w:r>
            <w:r>
              <w:rPr>
                <w:rFonts w:eastAsia="Arial"/>
                <w:sz w:val="21"/>
                <w:szCs w:val="21"/>
              </w:rPr>
              <w:t xml:space="preserve">  </w:t>
            </w:r>
            <w:r>
              <w:rPr>
                <w:rFonts w:eastAsia="Arial"/>
                <w:sz w:val="21"/>
                <w:szCs w:val="21"/>
              </w:rPr>
              <w:t xml:space="preserve">их</w:t>
            </w:r>
            <w:r>
              <w:rPr>
                <w:rFonts w:eastAsia="Arial"/>
                <w:sz w:val="21"/>
                <w:szCs w:val="21"/>
              </w:rPr>
              <w:t xml:space="preserve">  </w:t>
            </w:r>
            <w:r>
              <w:rPr>
                <w:rFonts w:eastAsia="Arial"/>
                <w:sz w:val="21"/>
                <w:szCs w:val="21"/>
              </w:rPr>
              <w:t xml:space="preserve">т</w:t>
            </w:r>
            <w:r>
              <w:rPr>
                <w:rFonts w:eastAsia="Arial"/>
                <w:sz w:val="21"/>
                <w:szCs w:val="21"/>
              </w:rPr>
              <w:t xml:space="preserve">ранспортировке </w:t>
            </w:r>
            <w:r/>
            <w:r>
              <w:rPr>
                <w:rFonts w:eastAsia="Arial"/>
                <w:sz w:val="21"/>
                <w:szCs w:val="21"/>
              </w:rPr>
            </w:r>
          </w:p>
          <w:p>
            <w:pPr>
              <w:pStyle w:val="884"/>
              <w:jc w:val="both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rFonts w:eastAsia="Arial"/>
                <w:sz w:val="21"/>
                <w:szCs w:val="21"/>
              </w:rPr>
              <w:t xml:space="preserve">в приют для животных, а также возврату их на прежние места обитания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Кол-ный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widowControl w:val="off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 период с 2022 г. по 2025 г. (истекший период) управлением ветеринарии Белгородской области, как контрольно-надзорным органом, проведена 1 проверка в отношении 1 приюта для животных, </w:t>
            </w:r>
            <w:r>
              <w:rPr>
                <w:sz w:val="21"/>
                <w:szCs w:val="21"/>
              </w:rPr>
              <w:t xml:space="preserve">осуществляющего деятельность в том числе по отлову животных и возврату </w:t>
            </w:r>
            <w:r>
              <w:rPr>
                <w:rFonts w:eastAsia="Arial"/>
                <w:sz w:val="21"/>
                <w:szCs w:val="21"/>
              </w:rPr>
              <w:t xml:space="preserve">их на прежние места обитания</w:t>
            </w:r>
            <w:r>
              <w:rPr>
                <w:rFonts w:eastAsia="Arial"/>
                <w:sz w:val="21"/>
                <w:szCs w:val="21"/>
              </w:rPr>
              <w:t xml:space="preserve">,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на соблюдение обязательных требований. </w:t>
            </w:r>
            <w:r/>
          </w:p>
          <w:p>
            <w:pPr>
              <w:widowControl w:val="off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 результатам проверок нарушений</w:t>
            </w:r>
            <w:r>
              <w:rPr>
                <w:sz w:val="21"/>
                <w:szCs w:val="21"/>
              </w:rPr>
              <w:t xml:space="preserve"> не выявлено</w:t>
            </w:r>
            <w:r>
              <w:rPr>
                <w:sz w:val="21"/>
                <w:szCs w:val="21"/>
              </w:rPr>
              <w:t xml:space="preserve">. За </w:t>
            </w:r>
            <w:r>
              <w:rPr>
                <w:sz w:val="21"/>
                <w:szCs w:val="21"/>
              </w:rPr>
              <w:t xml:space="preserve">отчетный период были проведены 2</w:t>
            </w:r>
            <w:r>
              <w:rPr>
                <w:sz w:val="21"/>
                <w:szCs w:val="21"/>
              </w:rPr>
              <w:t xml:space="preserve">0 профилактических визитов, в результате которых фактов явной непосредственной угрозы причинения вреда (ущерба) охраняемым законом ценностям в деятельности подконтрольных объектов не выявлено.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</w:t>
            </w:r>
            <w:r/>
          </w:p>
        </w:tc>
      </w:tr>
    </w:tbl>
    <w:p>
      <w:pPr>
        <w:pStyle w:val="884"/>
        <w:ind w:firstLine="567"/>
        <w:jc w:val="both"/>
        <w:spacing w:before="0" w:beforeAutospacing="0" w:after="0" w:afterAutospacing="0" w:line="288" w:lineRule="atLeast"/>
        <w:rPr>
          <w:sz w:val="25"/>
          <w:szCs w:val="25"/>
        </w:rPr>
      </w:pPr>
      <w:r>
        <w:rPr>
          <w:sz w:val="25"/>
          <w:szCs w:val="25"/>
        </w:rPr>
        <w:t xml:space="preserve">4.1. Источники данных: управление ветеринарии Белгородской области.</w:t>
      </w:r>
      <w:r/>
    </w:p>
    <w:p>
      <w:pPr>
        <w:ind w:firstLine="567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5. Анализ последствий установленного правового регулирования:</w:t>
      </w:r>
      <w:r/>
    </w:p>
    <w:p>
      <w:pPr>
        <w:ind w:firstLine="567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5.1. Анализ фактических положительных и отрицательных последствий установленного правового регулирования:</w:t>
      </w:r>
      <w:r/>
    </w:p>
    <w:tbl>
      <w:tblPr>
        <w:tblW w:w="992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3827"/>
        <w:gridCol w:w="1985"/>
        <w:gridCol w:w="1559"/>
      </w:tblGrid>
      <w:tr>
        <w:trPr/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b/>
                <w:iCs/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 xml:space="preserve">Группы </w:t>
            </w:r>
            <w:r/>
          </w:p>
          <w:p>
            <w:pPr>
              <w:jc w:val="center"/>
              <w:rPr>
                <w:b/>
                <w:iCs/>
                <w:sz w:val="21"/>
                <w:szCs w:val="21"/>
                <w:highlight w:val="yellow"/>
              </w:rPr>
            </w:pPr>
            <w:r>
              <w:rPr>
                <w:b/>
                <w:iCs/>
                <w:sz w:val="21"/>
                <w:szCs w:val="21"/>
              </w:rPr>
              <w:t xml:space="preserve">заинтересованных лиц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Описание прогнозных положительных </w:t>
            </w:r>
            <w:r/>
          </w:p>
          <w:p>
            <w:pPr>
              <w:jc w:val="center"/>
              <w:rPr>
                <w:b/>
                <w:sz w:val="21"/>
                <w:szCs w:val="21"/>
                <w:highlight w:val="yellow"/>
              </w:rPr>
            </w:pPr>
            <w:r>
              <w:rPr>
                <w:b/>
                <w:sz w:val="21"/>
                <w:szCs w:val="21"/>
              </w:rPr>
              <w:t xml:space="preserve">и отрицательных последствий установленного регулирования 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Описание фактических положительных </w:t>
            </w:r>
            <w:r/>
          </w:p>
          <w:p>
            <w:pPr>
              <w:jc w:val="center"/>
              <w:rPr>
                <w:b/>
                <w:sz w:val="21"/>
                <w:szCs w:val="21"/>
                <w:highlight w:val="yellow"/>
              </w:rPr>
            </w:pPr>
            <w:r>
              <w:rPr>
                <w:b/>
                <w:sz w:val="21"/>
                <w:szCs w:val="21"/>
              </w:rPr>
              <w:t xml:space="preserve">и отрицательных последствий установленного регулирования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Оценка фактических последствий </w:t>
            </w:r>
            <w:r/>
          </w:p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в сравнении </w:t>
            </w:r>
            <w:r/>
          </w:p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с прогнозными</w:t>
            </w:r>
            <w:r/>
          </w:p>
        </w:tc>
      </w:tr>
      <w:tr>
        <w:trPr/>
        <w:tc>
          <w:tcPr>
            <w:tcW w:w="2552" w:type="dxa"/>
            <w:textDirection w:val="lrTb"/>
            <w:noWrap w:val="false"/>
          </w:tcPr>
          <w:p>
            <w:pPr>
              <w:pStyle w:val="884"/>
              <w:jc w:val="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</w:t>
            </w:r>
            <w:r>
              <w:rPr>
                <w:sz w:val="22"/>
                <w:szCs w:val="22"/>
              </w:rPr>
              <w:t xml:space="preserve">идуальные предприниматели и юридические лица, заключившие в сфере закупок товаров, работ, услуг для обеспечения государственных и муниципальных нужд соответствующий контракт с органом местного самоуправления городского, сельского поселения в соответствии 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требованиями Федерального </w:t>
            </w:r>
            <w:hyperlink r:id="rId15" w:tooltip="https://login.consultant.ru/link/?req=doc&amp;base=LAW&amp;n=482855&amp;date=25.07.2025" w:history="1">
              <w:r>
                <w:rPr>
                  <w:rStyle w:val="851"/>
                  <w:rFonts w:eastAsia="Arial"/>
                  <w:color w:val="auto"/>
                  <w:sz w:val="22"/>
                  <w:szCs w:val="22"/>
                  <w:u w:val="none"/>
                </w:rPr>
                <w:t xml:space="preserve">закона</w:t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 27</w:t>
            </w:r>
            <w:r>
              <w:rPr>
                <w:sz w:val="22"/>
                <w:szCs w:val="22"/>
              </w:rPr>
              <w:t xml:space="preserve">.12.</w:t>
            </w:r>
            <w:r>
              <w:rPr>
                <w:sz w:val="22"/>
                <w:szCs w:val="22"/>
              </w:rPr>
              <w:t xml:space="preserve">2018 года </w:t>
            </w:r>
            <w:r>
              <w:rPr>
                <w:sz w:val="22"/>
                <w:szCs w:val="22"/>
              </w:rPr>
              <w:t xml:space="preserve">№ 498-ФЗ «</w:t>
            </w:r>
            <w:r>
              <w:rPr>
                <w:sz w:val="22"/>
                <w:szCs w:val="22"/>
              </w:rPr>
              <w:t xml:space="preserve">Об ответственном обращении с животными и о внесении изменений </w:t>
            </w:r>
            <w:r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в отдельные законодательные акты Российской Федерации</w:t>
            </w:r>
            <w:r>
              <w:rPr>
                <w:sz w:val="22"/>
                <w:szCs w:val="22"/>
              </w:rPr>
              <w:t xml:space="preserve">»</w:t>
            </w:r>
            <w:r/>
          </w:p>
          <w:p>
            <w:pPr>
              <w:pStyle w:val="884"/>
              <w:jc w:val="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884"/>
              <w:jc w:val="both"/>
              <w:spacing w:before="0" w:beforeAutospacing="0" w:after="0" w:afterAutospacing="0" w:line="21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/>
          </w:p>
          <w:p>
            <w:pPr>
              <w:pStyle w:val="884"/>
              <w:jc w:val="both"/>
              <w:spacing w:before="0" w:beforeAutospacing="0" w:after="0" w:afterAutospacing="0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84"/>
              <w:jc w:val="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по обращению с животными без владельцев осуществляется в целях:</w:t>
            </w:r>
            <w:r/>
          </w:p>
          <w:p>
            <w:pPr>
              <w:pStyle w:val="884"/>
              <w:jc w:val="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предупреждения возникновения эпидемий, эпизоотий и (или) иных чрезвычайных ситуаций, связанных </w:t>
            </w:r>
            <w:r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 xml:space="preserve">с распространением заразных болезней, общих для человека и животных, носителями возбудителей которых могут быть животные без владельцев; </w:t>
            </w:r>
            <w:r/>
          </w:p>
          <w:p>
            <w:pPr>
              <w:pStyle w:val="884"/>
              <w:jc w:val="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предотвращения причинения вреда здоровью и (или) имуществу граждан, имуществу юридических лиц; </w:t>
            </w:r>
            <w:r/>
          </w:p>
          <w:p>
            <w:pPr>
              <w:pStyle w:val="884"/>
              <w:jc w:val="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гуманного отношения к животным без владельцев;</w:t>
            </w:r>
            <w:r/>
          </w:p>
          <w:p>
            <w:pPr>
              <w:pStyle w:val="884"/>
              <w:jc w:val="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4) предотвращения нанесения ущерба объектам животного мира и среде </w:t>
            </w:r>
            <w:r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их обитания;</w:t>
            </w:r>
            <w:r/>
          </w:p>
          <w:p>
            <w:pPr>
              <w:pStyle w:val="884"/>
              <w:jc w:val="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5) возврата потерявшихся животных их владельцам</w:t>
            </w:r>
            <w:r/>
          </w:p>
        </w:tc>
        <w:tc>
          <w:tcPr>
            <w:gridSpan w:val="2"/>
            <w:tcW w:w="354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 период с 2022 г. по 2025 г. (истекший период) управлением ветеринарии Белгородской области, как контрольно-надзорным органом, проведена 1 проверка в отношении </w:t>
            </w:r>
            <w:r>
              <w:rPr>
                <w:sz w:val="21"/>
                <w:szCs w:val="21"/>
              </w:rPr>
              <w:t xml:space="preserve">                  </w:t>
            </w:r>
            <w:r>
              <w:rPr>
                <w:sz w:val="21"/>
                <w:szCs w:val="21"/>
              </w:rPr>
              <w:t xml:space="preserve">1 приюта для животных,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осуществляющего деятельность, в том числе по отлову животных и возврата </w:t>
            </w:r>
            <w:r>
              <w:rPr>
                <w:rFonts w:eastAsia="Arial"/>
                <w:sz w:val="21"/>
                <w:szCs w:val="21"/>
              </w:rPr>
              <w:t xml:space="preserve">их на прежние места обитания</w:t>
            </w:r>
            <w:r>
              <w:rPr>
                <w:rFonts w:eastAsia="Arial"/>
                <w:sz w:val="21"/>
                <w:szCs w:val="21"/>
              </w:rPr>
              <w:t xml:space="preserve">,</w:t>
            </w:r>
            <w:r>
              <w:rPr>
                <w:sz w:val="21"/>
                <w:szCs w:val="21"/>
              </w:rPr>
              <w:t xml:space="preserve"> на соблюдение обязательных требований. </w:t>
            </w:r>
            <w:r/>
          </w:p>
          <w:p>
            <w:pPr>
              <w:jc w:val="both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 xml:space="preserve">По результатам проверок нарушений не выявлено. За отчетный период были проведены 20 профилактических </w:t>
            </w:r>
            <w:r>
              <w:rPr>
                <w:sz w:val="21"/>
                <w:szCs w:val="21"/>
              </w:rPr>
              <w:t xml:space="preserve">визитов, </w:t>
            </w:r>
            <w:r>
              <w:rPr>
                <w:sz w:val="21"/>
                <w:szCs w:val="21"/>
              </w:rPr>
              <w:t xml:space="preserve">в результате которых фактов явной непосредственной угрозы причинения вреда (ущерба) охраняемым законом ценностям                      в деятельности подконтрольных объектов не выявлено. </w:t>
            </w:r>
            <w:r/>
          </w:p>
        </w:tc>
      </w:tr>
    </w:tbl>
    <w:p>
      <w:pPr>
        <w:ind w:firstLine="567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5.2. Анализ фактических затрат субъектов предпринимательской и иной экономической деятельности на соблюдение установленного правового регулирования (на соблюдение обязательных требований):</w:t>
      </w:r>
      <w:r/>
    </w:p>
    <w:tbl>
      <w:tblPr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2409"/>
        <w:gridCol w:w="2413"/>
        <w:gridCol w:w="1556"/>
      </w:tblGrid>
      <w:tr>
        <w:trPr>
          <w:trHeight w:val="1355"/>
        </w:trPr>
        <w:tc>
          <w:tcPr>
            <w:tcW w:w="3261" w:type="dxa"/>
            <w:textDirection w:val="lrTb"/>
            <w:noWrap w:val="false"/>
          </w:tcPr>
          <w:p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Группы </w:t>
            </w:r>
            <w:r/>
          </w:p>
          <w:p>
            <w:pPr>
              <w:jc w:val="center"/>
              <w:rPr>
                <w:b/>
                <w:iCs/>
                <w:sz w:val="22"/>
                <w:szCs w:val="22"/>
                <w:highlight w:val="yellow"/>
              </w:rPr>
            </w:pPr>
            <w:r>
              <w:rPr>
                <w:b/>
                <w:iCs/>
                <w:sz w:val="22"/>
                <w:szCs w:val="22"/>
              </w:rPr>
              <w:t xml:space="preserve">заинтересованных лиц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Описание плановых затрат субъектов предпринимательской и иной экономической деятельности</w:t>
            </w:r>
            <w:r/>
          </w:p>
        </w:tc>
        <w:tc>
          <w:tcPr>
            <w:tcW w:w="2413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Описание фактических затрат субъектов предпринимательской и иной экономической деятельности </w:t>
            </w:r>
            <w:r/>
          </w:p>
        </w:tc>
        <w:tc>
          <w:tcPr>
            <w:tcW w:w="1556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Оценка фактических затрат</w:t>
            </w:r>
            <w:r/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 сравнении </w:t>
            </w:r>
            <w:r/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 прогнозными</w:t>
            </w:r>
            <w:r/>
          </w:p>
        </w:tc>
      </w:tr>
      <w:tr>
        <w:trPr/>
        <w:tc>
          <w:tcPr>
            <w:tcW w:w="3261" w:type="dxa"/>
            <w:textDirection w:val="lrTb"/>
            <w:noWrap w:val="false"/>
          </w:tcPr>
          <w:p>
            <w:pPr>
              <w:pStyle w:val="884"/>
              <w:jc w:val="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Индивидуальные предприниматели и</w:t>
            </w:r>
            <w:r>
              <w:rPr>
                <w:sz w:val="22"/>
                <w:szCs w:val="22"/>
              </w:rPr>
              <w:t xml:space="preserve"> юридические лица, заключившие в сфере закупок товаров, работ, услуг для обеспечения государственных и муниципальных нужд соответствующий контракт с органом местного самоуправления городского, сельского поселения в соответствии с требованиями Федерального </w:t>
            </w:r>
            <w:hyperlink r:id="rId16" w:tooltip="https://login.consultant.ru/link/?req=doc&amp;base=LAW&amp;n=482855&amp;date=25.07.2025" w:history="1">
              <w:r>
                <w:rPr>
                  <w:rStyle w:val="851"/>
                  <w:rFonts w:eastAsia="Arial"/>
                  <w:color w:val="auto"/>
                  <w:sz w:val="22"/>
                  <w:szCs w:val="22"/>
                  <w:u w:val="none"/>
                </w:rPr>
                <w:t xml:space="preserve">закона</w:t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 27</w:t>
            </w:r>
            <w:r>
              <w:rPr>
                <w:sz w:val="22"/>
                <w:szCs w:val="22"/>
              </w:rPr>
              <w:t xml:space="preserve">.12.</w:t>
            </w:r>
            <w:r>
              <w:rPr>
                <w:sz w:val="22"/>
                <w:szCs w:val="22"/>
              </w:rPr>
              <w:t xml:space="preserve">2018 года </w:t>
            </w:r>
            <w:r>
              <w:rPr>
                <w:sz w:val="22"/>
                <w:szCs w:val="22"/>
              </w:rPr>
              <w:t xml:space="preserve">№ 498-ФЗ «</w:t>
            </w:r>
            <w:r>
              <w:rPr>
                <w:sz w:val="22"/>
                <w:szCs w:val="22"/>
              </w:rPr>
              <w:t xml:space="preserve">Об ответственном обращении с животными и о внесении изменений в отдельные законодательные акты Российской Федерации</w:t>
            </w:r>
            <w:r>
              <w:rPr>
                <w:sz w:val="22"/>
                <w:szCs w:val="22"/>
              </w:rPr>
              <w:t xml:space="preserve">»</w:t>
            </w:r>
            <w:r/>
          </w:p>
        </w:tc>
        <w:tc>
          <w:tcPr>
            <w:gridSpan w:val="2"/>
            <w:tcW w:w="4822" w:type="dxa"/>
            <w:textDirection w:val="lrTb"/>
            <w:noWrap w:val="false"/>
          </w:tcPr>
          <w:p>
            <w:pPr>
              <w:pStyle w:val="884"/>
              <w:ind w:firstLine="0"/>
              <w:jc w:val="both"/>
              <w:spacing w:before="0" w:beforeAutospacing="0" w:after="0" w:afterAutospacing="0"/>
              <w:tabs>
                <w:tab w:val="center" w:pos="2383" w:leader="none"/>
              </w:tabs>
              <w:rPr>
                <w:b w:val="0"/>
                <w:bCs w:val="0"/>
                <w:sz w:val="22"/>
                <w:szCs w:val="22"/>
                <w:highlight w:val="none"/>
              </w:rPr>
            </w:pPr>
            <w:r/>
            <w:r>
              <w:rPr>
                <w:b w:val="0"/>
                <w:bCs w:val="0"/>
                <w:sz w:val="22"/>
                <w:szCs w:val="22"/>
              </w:rPr>
              <w:t xml:space="preserve">1</w:t>
            </w:r>
            <w:r>
              <w:rPr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  <w:sz w:val="22"/>
                <w:szCs w:val="22"/>
              </w:rPr>
              <w:t xml:space="preserve"> Общая стоимость з</w:t>
            </w:r>
            <w:r>
              <w:rPr>
                <w:b w:val="0"/>
                <w:bCs w:val="0"/>
                <w:sz w:val="22"/>
                <w:szCs w:val="22"/>
              </w:rPr>
              <w:t xml:space="preserve">атрат на соблюдение обязательных требований </w:t>
            </w:r>
            <w:r>
              <w:rPr>
                <w:b w:val="0"/>
                <w:bCs w:val="0"/>
                <w:sz w:val="22"/>
                <w:szCs w:val="22"/>
              </w:rPr>
              <w:t xml:space="preserve">на </w:t>
            </w:r>
            <w:r>
              <w:rPr>
                <w:b w:val="0"/>
                <w:bCs w:val="0"/>
                <w:sz w:val="22"/>
                <w:szCs w:val="22"/>
              </w:rPr>
              <w:t xml:space="preserve">осуществление деятельности по обращению с животными без владельцев на территории Белгородской области</w:t>
            </w:r>
            <w:r>
              <w:rPr>
                <w:b w:val="0"/>
                <w:bCs w:val="0"/>
                <w:sz w:val="22"/>
                <w:szCs w:val="22"/>
              </w:rPr>
              <w:t xml:space="preserve">:</w:t>
            </w:r>
            <w:r>
              <w:rPr>
                <w:b w:val="0"/>
                <w:bCs w:val="0"/>
                <w:sz w:val="22"/>
                <w:szCs w:val="22"/>
              </w:rPr>
            </w:r>
            <w:bookmarkStart w:id="2" w:name="_GoBack"/>
            <w:r>
              <w:rPr>
                <w:b w:val="0"/>
                <w:bCs w:val="0"/>
                <w:sz w:val="22"/>
                <w:szCs w:val="22"/>
              </w:rPr>
            </w:r>
            <w:bookmarkEnd w:id="2"/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12550,375 тыс. руб. </w:t>
            </w:r>
            <w:r>
              <w:rPr>
                <w:sz w:val="22"/>
                <w:szCs w:val="22"/>
              </w:rPr>
            </w:r>
          </w:p>
          <w:p>
            <w:pPr>
              <w:pStyle w:val="884"/>
              <w:ind w:firstLine="0"/>
              <w:jc w:val="both"/>
              <w:spacing w:before="0" w:beforeAutospacing="0" w:after="0" w:afterAutospacing="0"/>
              <w:tabs>
                <w:tab w:val="center" w:pos="2383" w:leader="none"/>
              </w:tabs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Style w:val="884"/>
              <w:ind w:firstLine="0"/>
              <w:jc w:val="both"/>
              <w:spacing w:before="0" w:beforeAutospacing="0" w:after="0" w:afterAutospacing="0"/>
              <w:tabs>
                <w:tab w:val="center" w:pos="2383" w:leader="none"/>
              </w:tabs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2.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 Общая стоимость </w:t>
            </w:r>
            <w:r>
              <w:rPr>
                <w:b w:val="0"/>
                <w:bCs w:val="0"/>
                <w:sz w:val="22"/>
                <w:szCs w:val="22"/>
              </w:rPr>
              <w:t xml:space="preserve">трудоз</w:t>
            </w:r>
            <w:r>
              <w:rPr>
                <w:b w:val="0"/>
                <w:bCs w:val="0"/>
                <w:sz w:val="22"/>
                <w:szCs w:val="22"/>
              </w:rPr>
              <w:t xml:space="preserve">атрат на соблюдение обязательных требований при </w:t>
            </w:r>
            <w:r>
              <w:rPr>
                <w:b w:val="0"/>
                <w:bCs w:val="0"/>
                <w:sz w:val="22"/>
                <w:szCs w:val="22"/>
              </w:rPr>
              <w:t xml:space="preserve">транспортировке животных без владельцев</w:t>
            </w:r>
            <w:r>
              <w:rPr>
                <w:b w:val="0"/>
                <w:bCs w:val="0"/>
                <w:sz w:val="22"/>
                <w:szCs w:val="22"/>
              </w:rPr>
              <w:t xml:space="preserve">: </w:t>
            </w:r>
            <w:r>
              <w:rPr>
                <w:b w:val="0"/>
                <w:bCs w:val="0"/>
                <w:sz w:val="22"/>
                <w:szCs w:val="22"/>
              </w:rPr>
              <w:t xml:space="preserve">286,8 тыс. </w:t>
            </w:r>
            <w:r>
              <w:rPr>
                <w:b w:val="0"/>
                <w:bCs w:val="0"/>
                <w:sz w:val="22"/>
                <w:szCs w:val="22"/>
              </w:rPr>
              <w:t xml:space="preserve">руб.</w:t>
            </w:r>
            <w:r>
              <w:rPr>
                <w:sz w:val="22"/>
                <w:szCs w:val="22"/>
              </w:rPr>
            </w:r>
          </w:p>
          <w:p>
            <w:pPr>
              <w:pStyle w:val="884"/>
              <w:ind w:firstLine="0"/>
              <w:jc w:val="both"/>
              <w:spacing w:before="0" w:beforeAutospacing="0" w:after="0" w:afterAutospacing="0"/>
              <w:tabs>
                <w:tab w:val="center" w:pos="2383" w:leader="none"/>
              </w:tabs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Style w:val="884"/>
              <w:ind w:firstLine="0"/>
              <w:jc w:val="both"/>
              <w:spacing w:before="0" w:beforeAutospacing="0" w:after="0" w:afterAutospacing="0"/>
              <w:tabs>
                <w:tab w:val="center" w:pos="2383" w:leader="none"/>
              </w:tabs>
              <w:rPr>
                <w:b w:val="0"/>
                <w:bCs/>
                <w:i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Итого 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 xml:space="preserve">общая стоимость затрат хозяйствующих субъектов на соблюдение установленных ОТ 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 xml:space="preserve">к 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 xml:space="preserve">осуществлению деятельности по обращению с животными без владельцев на территории Белгородской области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 xml:space="preserve">: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 xml:space="preserve">12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 xml:space="preserve">837,18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 xml:space="preserve"> тыс. руб.</w:t>
            </w:r>
            <w:r>
              <w:rPr>
                <w:b w:val="0"/>
                <w:bCs w:val="0"/>
                <w:i/>
                <w:iCs/>
                <w:sz w:val="22"/>
                <w:szCs w:val="22"/>
                <w:u w:val="none"/>
              </w:rPr>
              <w:tab/>
            </w:r>
            <w:r>
              <w:rPr>
                <w:b w:val="0"/>
                <w:bCs w:val="0"/>
                <w:i/>
                <w:iCs/>
                <w:sz w:val="22"/>
                <w:szCs w:val="22"/>
                <w:u w:val="none"/>
              </w:rPr>
            </w:r>
            <w:r>
              <w:rPr>
                <w:b w:val="0"/>
                <w:bCs w:val="0"/>
                <w:i/>
                <w:iCs/>
                <w:sz w:val="22"/>
                <w:szCs w:val="22"/>
                <w:u w:val="none"/>
              </w:rPr>
            </w:r>
          </w:p>
          <w:p>
            <w:pPr>
              <w:pStyle w:val="884"/>
              <w:jc w:val="both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  <w:p>
            <w:pPr>
              <w:pStyle w:val="884"/>
              <w:ind w:firstLine="540"/>
              <w:jc w:val="both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  <w:p>
            <w:pPr>
              <w:pStyle w:val="884"/>
              <w:ind w:firstLine="540"/>
              <w:jc w:val="both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  <w:p>
            <w:pPr>
              <w:pStyle w:val="88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884"/>
              <w:jc w:val="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55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отклонений </w:t>
            </w:r>
            <w:r/>
          </w:p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не выявлено</w:t>
            </w:r>
            <w:r/>
          </w:p>
        </w:tc>
      </w:tr>
    </w:tbl>
    <w:p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5.3. Анализ расходов (возможных поступлений) консолидированного бюджета Белгородской области:</w:t>
      </w:r>
      <w:r/>
    </w:p>
    <w:tbl>
      <w:tblPr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6"/>
        <w:gridCol w:w="1842"/>
        <w:gridCol w:w="2127"/>
        <w:gridCol w:w="2551"/>
      </w:tblGrid>
      <w:tr>
        <w:trPr/>
        <w:tc>
          <w:tcPr>
            <w:tcW w:w="3256" w:type="dxa"/>
            <w:textDirection w:val="lrTb"/>
            <w:noWrap w:val="false"/>
          </w:tcPr>
          <w:p>
            <w:pPr>
              <w:jc w:val="center"/>
              <w:rPr>
                <w:b/>
                <w:iCs/>
                <w:sz w:val="22"/>
                <w:szCs w:val="22"/>
                <w:highlight w:val="yellow"/>
              </w:rPr>
            </w:pPr>
            <w:r>
              <w:rPr>
                <w:b/>
                <w:iCs/>
                <w:sz w:val="22"/>
                <w:szCs w:val="22"/>
              </w:rPr>
              <w:t xml:space="preserve">Описание расходов (поступлений) консолидированного бюджета Белгородской области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Плановая количественная оценка, </w:t>
            </w:r>
            <w:r/>
          </w:p>
          <w:p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тыс. рублей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Фактическая количественная оценка, </w:t>
            </w:r>
            <w:r/>
          </w:p>
          <w:p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тыс. рублей 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Оценка фактических расходов </w:t>
            </w:r>
            <w:r/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 сравнении </w:t>
            </w:r>
            <w:r/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 прогнозными</w:t>
            </w:r>
            <w:r/>
          </w:p>
        </w:tc>
      </w:tr>
      <w:tr>
        <w:trPr/>
        <w:tc>
          <w:tcPr>
            <w:tcW w:w="3256" w:type="dxa"/>
            <w:textDirection w:val="lrTb"/>
            <w:noWrap w:val="false"/>
          </w:tcPr>
          <w:p>
            <w:pPr>
              <w:pStyle w:val="884"/>
              <w:jc w:val="both"/>
              <w:spacing w:before="0" w:beforeAutospacing="0" w:after="0" w:afterAutospacing="0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  <w:lang w:val="en-US"/>
              </w:rPr>
              <w:t xml:space="preserve">C</w:t>
            </w:r>
            <w:r>
              <w:rPr>
                <w:sz w:val="22"/>
                <w:szCs w:val="22"/>
              </w:rPr>
              <w:t xml:space="preserve">убвенции</w:t>
            </w:r>
            <w:r>
              <w:rPr>
                <w:sz w:val="22"/>
                <w:szCs w:val="22"/>
              </w:rPr>
              <w:t xml:space="preserve"> из областного бюджета бюджетам муниципальных районов, муниципальных округов, городских округов на осуществление полномочий по организации мероприятий при осуществлении деятель</w:t>
            </w:r>
            <w:r>
              <w:rPr>
                <w:sz w:val="22"/>
                <w:szCs w:val="22"/>
              </w:rPr>
              <w:t xml:space="preserve">ности по обращению с животными без владельцев (Закон Белгородской области от 03.09.2021 года № 96 «О наделении органов местного самоуправления полномочиями по организации мероприятий при осуществлении деятельности по обращению с животными без владельцев»).</w:t>
            </w:r>
            <w:r/>
          </w:p>
          <w:p>
            <w:pPr>
              <w:pStyle w:val="884"/>
              <w:jc w:val="both"/>
              <w:spacing w:before="0" w:beforeAutospacing="0" w:after="0" w:afterAutospacing="0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884"/>
              <w:jc w:val="both"/>
              <w:spacing w:before="0" w:beforeAutospacing="0" w:after="0" w:afterAutospacing="0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Постановление Правительства Белгородской области от 29.11.2021 года № 561-пп «Об утверждении нормативов финансовых затрат на проведение мероприятий при осуществлении деятельности по обращению с животными без владельцев»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 xml:space="preserve">-</w:t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Нормативы финансовых затрат на осуществление мероприятий </w:t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Утверждены постановлением Правительства Белгородской области от 29.11.2021 года </w:t>
            </w:r>
            <w:r/>
          </w:p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№ 561-пп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период </w:t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2022 по 2025 год </w:t>
            </w:r>
            <w:r>
              <w:rPr>
                <w:sz w:val="22"/>
                <w:szCs w:val="22"/>
              </w:rPr>
              <w:t xml:space="preserve"> </w:t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организацию мероприятий при осуществлении деятельности по обращению с животными без владельцев из бюджета области выделено субвенций на сумму</w:t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43727,8 тыс.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руб.</w:t>
            </w:r>
            <w:r>
              <w:rPr>
                <w:sz w:val="22"/>
                <w:szCs w:val="22"/>
              </w:rPr>
              <w:t xml:space="preserve"> в том числе на мероприятия по обращению с животными без владельцев -                 2312,2 тыс. руб.</w:t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84"/>
              <w:jc w:val="both"/>
              <w:spacing w:before="0" w:beforeAutospacing="0" w:after="0" w:afterAutospacing="0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Закон Белгородской области от 03.09.2021 года № 96 вступил в силу                            с 1 января 2022 года. </w:t>
            </w:r>
            <w:r/>
          </w:p>
          <w:p>
            <w:pPr>
              <w:pStyle w:val="884"/>
              <w:jc w:val="both"/>
              <w:spacing w:before="0" w:beforeAutospacing="0" w:after="0" w:afterAutospacing="0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Ранее субсидии из областного бюджета на указанные мероприятия не выделились.</w:t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</w:tbl>
    <w:p>
      <w:pPr>
        <w:ind w:firstLine="567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</w:r>
      <w:r/>
    </w:p>
    <w:p>
      <w:pPr>
        <w:ind w:firstLine="480"/>
        <w:jc w:val="both"/>
        <w:rPr>
          <w:color w:val="000000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  <w:sz w:val="25"/>
          <w:szCs w:val="25"/>
        </w:rPr>
        <w:t xml:space="preserve">6. Оценка соблюдения принципов установления и оценки применения обязательных требований: </w:t>
      </w:r>
      <w:r>
        <w:rPr>
          <w:rFonts w:eastAsia="Arial"/>
          <w:color w:val="000000" w:themeColor="text1"/>
          <w:sz w:val="26"/>
          <w:szCs w:val="26"/>
        </w:rPr>
        <w:t xml:space="preserve">принципы установления и оценки применения обязательных требований такие как законность, обоснованность, правовая определенность и системность, а также исполнимость обязательных требований нормативного правового акта соблюдены.</w:t>
      </w:r>
      <w:r/>
    </w:p>
    <w:p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</w:r>
      <w:r/>
    </w:p>
    <w:p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7. Иные сведения, позволяющие оценить фактическое воздействие:</w:t>
      </w:r>
      <w:r/>
    </w:p>
    <w:p>
      <w:pPr>
        <w:ind w:firstLine="567"/>
        <w:rPr>
          <w:sz w:val="25"/>
          <w:szCs w:val="25"/>
        </w:rPr>
      </w:pPr>
      <w:r>
        <w:rPr>
          <w:sz w:val="25"/>
          <w:szCs w:val="25"/>
        </w:rPr>
        <w:t xml:space="preserve">7.1.Иные сведения: отсутствуют.</w:t>
      </w:r>
      <w:r/>
    </w:p>
    <w:p>
      <w:pPr>
        <w:ind w:firstLine="567"/>
        <w:rPr>
          <w:sz w:val="25"/>
          <w:szCs w:val="25"/>
        </w:rPr>
      </w:pPr>
      <w:r>
        <w:rPr>
          <w:sz w:val="25"/>
          <w:szCs w:val="25"/>
        </w:rPr>
        <w:t xml:space="preserve">7.2.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Источники данных: отсутствуют. 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органа-разработчика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2154"/>
        <w:gridCol w:w="1559"/>
        <w:gridCol w:w="142"/>
        <w:gridCol w:w="198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828" w:type="dxa"/>
            <w:vAlign w:val="bottom"/>
            <w:textDirection w:val="lrTb"/>
            <w:noWrap w:val="false"/>
          </w:tcPr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Кравцов Дмитрий Михайлович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54" w:type="dxa"/>
            <w:vAlign w:val="bottom"/>
            <w:textDirection w:val="lrTb"/>
            <w:noWrap w:val="false"/>
          </w:tcPr>
          <w:p>
            <w:pPr>
              <w:ind w:firstLine="709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2" w:type="dxa"/>
            <w:vAlign w:val="bottom"/>
            <w:textDirection w:val="lrTb"/>
            <w:noWrap w:val="false"/>
          </w:tcPr>
          <w:p>
            <w:pPr>
              <w:ind w:firstLine="709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84" w:type="dxa"/>
            <w:vAlign w:val="bottom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</w:pPr>
            <w:r>
              <w:t xml:space="preserve">(</w:t>
            </w:r>
            <w:r>
              <w:rPr>
                <w:sz w:val="18"/>
                <w:szCs w:val="18"/>
              </w:rPr>
              <w:t xml:space="preserve">инициалы, фамилия)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54" w:type="dxa"/>
            <w:textDirection w:val="lrTb"/>
            <w:noWrap w:val="false"/>
          </w:tcPr>
          <w:p>
            <w:pPr>
              <w:ind w:firstLine="709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2" w:type="dxa"/>
            <w:textDirection w:val="lrTb"/>
            <w:noWrap w:val="false"/>
          </w:tcPr>
          <w:p>
            <w:pPr>
              <w:ind w:firstLine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</w:t>
            </w:r>
            <w:r/>
          </w:p>
        </w:tc>
      </w:tr>
    </w:tbl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426" w:right="707" w:bottom="851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4</w:t>
    </w:r>
    <w:r>
      <w:fldChar w:fldCharType="end"/>
    </w:r>
    <w:r/>
  </w:p>
  <w:p>
    <w:pPr>
      <w:pStyle w:val="87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 w:default="1">
    <w:name w:val="Normal"/>
    <w:qFormat/>
    <w:rPr>
      <w:sz w:val="24"/>
      <w:szCs w:val="24"/>
    </w:rPr>
  </w:style>
  <w:style w:type="paragraph" w:styleId="657">
    <w:name w:val="Heading 1"/>
    <w:basedOn w:val="656"/>
    <w:next w:val="656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8">
    <w:name w:val="Heading 2"/>
    <w:basedOn w:val="656"/>
    <w:next w:val="656"/>
    <w:link w:val="7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9">
    <w:name w:val="Heading 3"/>
    <w:basedOn w:val="656"/>
    <w:next w:val="656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0">
    <w:name w:val="Heading 4"/>
    <w:basedOn w:val="656"/>
    <w:next w:val="656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656"/>
    <w:next w:val="656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62">
    <w:name w:val="Heading 6"/>
    <w:basedOn w:val="656"/>
    <w:next w:val="656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3">
    <w:name w:val="Heading 7"/>
    <w:basedOn w:val="656"/>
    <w:next w:val="65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4">
    <w:name w:val="Heading 8"/>
    <w:basedOn w:val="656"/>
    <w:next w:val="656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5">
    <w:name w:val="Heading 9"/>
    <w:basedOn w:val="656"/>
    <w:next w:val="656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character" w:styleId="669" w:customStyle="1">
    <w:name w:val="Heading 1 Char"/>
    <w:basedOn w:val="666"/>
    <w:uiPriority w:val="9"/>
    <w:rPr>
      <w:rFonts w:ascii="Arial" w:hAnsi="Arial" w:eastAsia="Arial" w:cs="Arial"/>
      <w:sz w:val="40"/>
      <w:szCs w:val="40"/>
    </w:rPr>
  </w:style>
  <w:style w:type="character" w:styleId="670" w:customStyle="1">
    <w:name w:val="Heading 2 Char"/>
    <w:basedOn w:val="666"/>
    <w:uiPriority w:val="9"/>
    <w:rPr>
      <w:rFonts w:ascii="Arial" w:hAnsi="Arial" w:eastAsia="Arial" w:cs="Arial"/>
      <w:sz w:val="34"/>
    </w:rPr>
  </w:style>
  <w:style w:type="character" w:styleId="671" w:customStyle="1">
    <w:name w:val="Heading 3 Char"/>
    <w:basedOn w:val="666"/>
    <w:uiPriority w:val="9"/>
    <w:rPr>
      <w:rFonts w:ascii="Arial" w:hAnsi="Arial" w:eastAsia="Arial" w:cs="Arial"/>
      <w:sz w:val="30"/>
      <w:szCs w:val="30"/>
    </w:rPr>
  </w:style>
  <w:style w:type="character" w:styleId="672" w:customStyle="1">
    <w:name w:val="Heading 4 Char"/>
    <w:basedOn w:val="666"/>
    <w:uiPriority w:val="9"/>
    <w:rPr>
      <w:rFonts w:ascii="Arial" w:hAnsi="Arial" w:eastAsia="Arial" w:cs="Arial"/>
      <w:b/>
      <w:bCs/>
      <w:sz w:val="26"/>
      <w:szCs w:val="26"/>
    </w:rPr>
  </w:style>
  <w:style w:type="character" w:styleId="673" w:customStyle="1">
    <w:name w:val="Heading 5 Char"/>
    <w:basedOn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674" w:customStyle="1">
    <w:name w:val="Heading 6 Char"/>
    <w:basedOn w:val="666"/>
    <w:uiPriority w:val="9"/>
    <w:rPr>
      <w:rFonts w:ascii="Arial" w:hAnsi="Arial" w:eastAsia="Arial" w:cs="Arial"/>
      <w:b/>
      <w:bCs/>
      <w:sz w:val="22"/>
      <w:szCs w:val="22"/>
    </w:rPr>
  </w:style>
  <w:style w:type="character" w:styleId="675" w:customStyle="1">
    <w:name w:val="Heading 7 Char"/>
    <w:basedOn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6" w:customStyle="1">
    <w:name w:val="Heading 8 Char"/>
    <w:basedOn w:val="666"/>
    <w:uiPriority w:val="9"/>
    <w:rPr>
      <w:rFonts w:ascii="Arial" w:hAnsi="Arial" w:eastAsia="Arial" w:cs="Arial"/>
      <w:i/>
      <w:iCs/>
      <w:sz w:val="22"/>
      <w:szCs w:val="22"/>
    </w:rPr>
  </w:style>
  <w:style w:type="character" w:styleId="677" w:customStyle="1">
    <w:name w:val="Heading 9 Char"/>
    <w:basedOn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78" w:customStyle="1">
    <w:name w:val="Title Char"/>
    <w:basedOn w:val="666"/>
    <w:uiPriority w:val="10"/>
    <w:rPr>
      <w:sz w:val="48"/>
      <w:szCs w:val="48"/>
    </w:rPr>
  </w:style>
  <w:style w:type="character" w:styleId="679" w:customStyle="1">
    <w:name w:val="Subtitle Char"/>
    <w:basedOn w:val="666"/>
    <w:uiPriority w:val="11"/>
    <w:rPr>
      <w:sz w:val="24"/>
      <w:szCs w:val="24"/>
    </w:rPr>
  </w:style>
  <w:style w:type="character" w:styleId="680" w:customStyle="1">
    <w:name w:val="Quote Char"/>
    <w:uiPriority w:val="29"/>
    <w:rPr>
      <w:i/>
    </w:rPr>
  </w:style>
  <w:style w:type="character" w:styleId="681" w:customStyle="1">
    <w:name w:val="Intense Quote Char"/>
    <w:uiPriority w:val="30"/>
    <w:rPr>
      <w:i/>
    </w:rPr>
  </w:style>
  <w:style w:type="table" w:styleId="682">
    <w:name w:val="Plain Table 1"/>
    <w:basedOn w:val="66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667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66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66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66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basedOn w:val="667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basedOn w:val="66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6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4"/>
    <w:basedOn w:val="667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1">
    <w:name w:val="Grid Table 5 Dark"/>
    <w:basedOn w:val="66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692">
    <w:name w:val="Grid Table 6 Colorful"/>
    <w:basedOn w:val="66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93">
    <w:name w:val="Grid Table 7 Colorful"/>
    <w:basedOn w:val="667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694">
    <w:name w:val="List Table 1 Light"/>
    <w:basedOn w:val="66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List Table 2"/>
    <w:basedOn w:val="667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696">
    <w:name w:val="List Table 3"/>
    <w:basedOn w:val="66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List Table 4"/>
    <w:basedOn w:val="66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List Table 5 Dark"/>
    <w:basedOn w:val="66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99">
    <w:name w:val="List Table 6 Colorful"/>
    <w:basedOn w:val="66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00">
    <w:name w:val="List Table 7 Colorful"/>
    <w:basedOn w:val="667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character" w:styleId="701" w:customStyle="1">
    <w:name w:val="Footnote Text Char"/>
    <w:uiPriority w:val="99"/>
    <w:rPr>
      <w:sz w:val="18"/>
    </w:rPr>
  </w:style>
  <w:style w:type="character" w:styleId="702" w:customStyle="1">
    <w:name w:val="Endnote Text Char"/>
    <w:uiPriority w:val="99"/>
    <w:rPr>
      <w:sz w:val="20"/>
    </w:rPr>
  </w:style>
  <w:style w:type="character" w:styleId="703" w:customStyle="1">
    <w:name w:val="Заголовок 1 Знак"/>
    <w:basedOn w:val="666"/>
    <w:link w:val="657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Заголовок 2 Знак"/>
    <w:basedOn w:val="666"/>
    <w:link w:val="658"/>
    <w:uiPriority w:val="9"/>
    <w:rPr>
      <w:rFonts w:ascii="Arial" w:hAnsi="Arial" w:eastAsia="Arial" w:cs="Arial"/>
      <w:sz w:val="34"/>
    </w:rPr>
  </w:style>
  <w:style w:type="character" w:styleId="705" w:customStyle="1">
    <w:name w:val="Заголовок 3 Знак"/>
    <w:basedOn w:val="666"/>
    <w:link w:val="659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Заголовок 4 Знак"/>
    <w:basedOn w:val="666"/>
    <w:link w:val="660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Заголовок 5 Знак"/>
    <w:basedOn w:val="666"/>
    <w:link w:val="661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Заголовок 6 Знак"/>
    <w:basedOn w:val="666"/>
    <w:link w:val="662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Заголовок 7 Знак"/>
    <w:basedOn w:val="666"/>
    <w:link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Заголовок 8 Знак"/>
    <w:basedOn w:val="666"/>
    <w:link w:val="664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Заголовок 9 Знак"/>
    <w:basedOn w:val="666"/>
    <w:link w:val="665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656"/>
    <w:uiPriority w:val="34"/>
    <w:qFormat/>
    <w:pPr>
      <w:contextualSpacing/>
      <w:ind w:left="720"/>
    </w:pPr>
  </w:style>
  <w:style w:type="paragraph" w:styleId="713">
    <w:name w:val="No Spacing"/>
    <w:uiPriority w:val="1"/>
    <w:qFormat/>
  </w:style>
  <w:style w:type="paragraph" w:styleId="714">
    <w:name w:val="Title"/>
    <w:basedOn w:val="656"/>
    <w:next w:val="656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 w:customStyle="1">
    <w:name w:val="Название Знак"/>
    <w:basedOn w:val="666"/>
    <w:link w:val="714"/>
    <w:uiPriority w:val="10"/>
    <w:rPr>
      <w:sz w:val="48"/>
      <w:szCs w:val="48"/>
    </w:rPr>
  </w:style>
  <w:style w:type="paragraph" w:styleId="716">
    <w:name w:val="Subtitle"/>
    <w:basedOn w:val="656"/>
    <w:next w:val="656"/>
    <w:link w:val="717"/>
    <w:uiPriority w:val="11"/>
    <w:qFormat/>
    <w:pPr>
      <w:spacing w:before="200" w:after="200"/>
    </w:pPr>
  </w:style>
  <w:style w:type="character" w:styleId="717" w:customStyle="1">
    <w:name w:val="Подзаголовок Знак"/>
    <w:basedOn w:val="666"/>
    <w:link w:val="716"/>
    <w:uiPriority w:val="11"/>
    <w:rPr>
      <w:sz w:val="24"/>
      <w:szCs w:val="24"/>
    </w:rPr>
  </w:style>
  <w:style w:type="paragraph" w:styleId="718">
    <w:name w:val="Quote"/>
    <w:basedOn w:val="656"/>
    <w:next w:val="656"/>
    <w:link w:val="719"/>
    <w:uiPriority w:val="29"/>
    <w:qFormat/>
    <w:pPr>
      <w:ind w:left="720" w:right="720"/>
    </w:pPr>
    <w:rPr>
      <w:i/>
    </w:rPr>
  </w:style>
  <w:style w:type="character" w:styleId="719" w:customStyle="1">
    <w:name w:val="Цитата 2 Знак"/>
    <w:link w:val="718"/>
    <w:uiPriority w:val="29"/>
    <w:rPr>
      <w:i/>
    </w:rPr>
  </w:style>
  <w:style w:type="paragraph" w:styleId="720">
    <w:name w:val="Intense Quote"/>
    <w:basedOn w:val="656"/>
    <w:next w:val="656"/>
    <w:link w:val="721"/>
    <w:uiPriority w:val="30"/>
    <w:qFormat/>
    <w:pPr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 w:customStyle="1">
    <w:name w:val="Выделенная цитата Знак"/>
    <w:link w:val="720"/>
    <w:uiPriority w:val="30"/>
    <w:rPr>
      <w:i/>
    </w:rPr>
  </w:style>
  <w:style w:type="character" w:styleId="722" w:customStyle="1">
    <w:name w:val="Header Char"/>
    <w:basedOn w:val="666"/>
    <w:uiPriority w:val="99"/>
  </w:style>
  <w:style w:type="character" w:styleId="723" w:customStyle="1">
    <w:name w:val="Footer Char"/>
    <w:basedOn w:val="666"/>
    <w:uiPriority w:val="99"/>
  </w:style>
  <w:style w:type="paragraph" w:styleId="724">
    <w:name w:val="Caption"/>
    <w:basedOn w:val="656"/>
    <w:next w:val="65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5" w:customStyle="1">
    <w:name w:val="Caption Char"/>
    <w:uiPriority w:val="99"/>
  </w:style>
  <w:style w:type="table" w:styleId="726" w:customStyle="1">
    <w:name w:val="Table Grid Light"/>
    <w:basedOn w:val="66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 w:customStyle="1">
    <w:name w:val="Таблица простая 11"/>
    <w:basedOn w:val="66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 w:customStyle="1">
    <w:name w:val="Таблица простая 21"/>
    <w:basedOn w:val="667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 w:customStyle="1">
    <w:name w:val="Таблица простая 31"/>
    <w:basedOn w:val="66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 w:customStyle="1">
    <w:name w:val="Таблица простая 41"/>
    <w:basedOn w:val="66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Таблица простая 51"/>
    <w:basedOn w:val="66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 w:customStyle="1">
    <w:name w:val="Таблица-сетка 1 светлая1"/>
    <w:basedOn w:val="667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1"/>
    <w:basedOn w:val="667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2"/>
    <w:basedOn w:val="667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3"/>
    <w:basedOn w:val="667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4"/>
    <w:basedOn w:val="667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5"/>
    <w:basedOn w:val="667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6"/>
    <w:basedOn w:val="667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Таблица-сетка 21"/>
    <w:basedOn w:val="66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1"/>
    <w:basedOn w:val="667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2"/>
    <w:basedOn w:val="667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3"/>
    <w:basedOn w:val="667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4"/>
    <w:basedOn w:val="667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5"/>
    <w:basedOn w:val="667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6"/>
    <w:basedOn w:val="667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Таблица-сетка 31"/>
    <w:basedOn w:val="66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1"/>
    <w:basedOn w:val="667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2"/>
    <w:basedOn w:val="667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3"/>
    <w:basedOn w:val="667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4"/>
    <w:basedOn w:val="667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5"/>
    <w:basedOn w:val="667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6"/>
    <w:basedOn w:val="667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Таблица-сетка 41"/>
    <w:basedOn w:val="667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 w:customStyle="1">
    <w:name w:val="Grid Table 4 - Accent 1"/>
    <w:basedOn w:val="667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5" w:customStyle="1">
    <w:name w:val="Grid Table 4 - Accent 2"/>
    <w:basedOn w:val="667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6" w:customStyle="1">
    <w:name w:val="Grid Table 4 - Accent 3"/>
    <w:basedOn w:val="667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7" w:customStyle="1">
    <w:name w:val="Grid Table 4 - Accent 4"/>
    <w:basedOn w:val="667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8" w:customStyle="1">
    <w:name w:val="Grid Table 4 - Accent 5"/>
    <w:basedOn w:val="667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9" w:customStyle="1">
    <w:name w:val="Grid Table 4 - Accent 6"/>
    <w:basedOn w:val="667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0" w:customStyle="1">
    <w:name w:val="Таблица-сетка 5 темная1"/>
    <w:basedOn w:val="66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1"/>
    <w:basedOn w:val="66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b3d0eb" w:themeFill="accent1" w:themeFillTint="75"/>
      </w:tcPr>
    </w:tblStylePr>
    <w:tblStylePr w:type="band1Vert">
      <w:tcPr>
        <w:shd w:val="clear" w:color="ffffff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5b9bd5" w:themeFill="accen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2"/>
    <w:basedOn w:val="66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6c3a0" w:themeFill="accent2" w:themeFillTint="75"/>
      </w:tcPr>
    </w:tblStylePr>
    <w:tblStylePr w:type="band1Vert">
      <w:tcPr>
        <w:shd w:val="clear" w:color="ffffff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ed7d31" w:themeFill="accent2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3"/>
    <w:basedOn w:val="66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d5d5d5" w:themeFill="accent3" w:themeFillTint="75"/>
      </w:tcPr>
    </w:tblStylePr>
    <w:tblStylePr w:type="band1Vert">
      <w:tcPr>
        <w:shd w:val="clear" w:color="ffffff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a5a5a5" w:themeFill="accent3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4"/>
    <w:basedOn w:val="66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e28a" w:themeFill="accent4" w:themeFillTint="75"/>
      </w:tcPr>
    </w:tblStylePr>
    <w:tblStylePr w:type="band1Vert">
      <w:tcPr>
        <w:shd w:val="clear" w:color="ffffff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c000" w:themeFill="accent4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5"/>
    <w:basedOn w:val="66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a9bee4" w:themeFill="accent5" w:themeFillTint="75"/>
      </w:tcPr>
    </w:tblStylePr>
    <w:tblStylePr w:type="band1Vert">
      <w:tcPr>
        <w:shd w:val="clear" w:color="ffffff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472c4" w:themeFill="accent5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6"/>
    <w:basedOn w:val="66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bcdba8" w:themeFill="accent6" w:themeFillTint="75"/>
      </w:tcPr>
    </w:tblStylePr>
    <w:tblStylePr w:type="band1Vert">
      <w:tcPr>
        <w:shd w:val="clear" w:color="ffffff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70ad47" w:themeFill="accent6"/>
        <w:tcBorders>
          <w:top w:val="single" w:color="FFFFFF" w:themeColor="light1" w:sz="4" w:space="0"/>
        </w:tcBorders>
      </w:tcPr>
    </w:tblStylePr>
  </w:style>
  <w:style w:type="table" w:styleId="767" w:customStyle="1">
    <w:name w:val="Таблица-сетка 6 цветная1"/>
    <w:basedOn w:val="66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8" w:customStyle="1">
    <w:name w:val="Grid Table 6 Colorful - Accent 1"/>
    <w:basedOn w:val="667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9" w:customStyle="1">
    <w:name w:val="Grid Table 6 Colorful - Accent 2"/>
    <w:basedOn w:val="667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0" w:customStyle="1">
    <w:name w:val="Grid Table 6 Colorful - Accent 3"/>
    <w:basedOn w:val="667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1" w:customStyle="1">
    <w:name w:val="Grid Table 6 Colorful - Accent 4"/>
    <w:basedOn w:val="667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2" w:customStyle="1">
    <w:name w:val="Grid Table 6 Colorful - Accent 5"/>
    <w:basedOn w:val="667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1Vert"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3" w:customStyle="1">
    <w:name w:val="Grid Table 6 Colorful - Accent 6"/>
    <w:basedOn w:val="667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4" w:customStyle="1">
    <w:name w:val="Таблица-сетка 7 цветная1"/>
    <w:basedOn w:val="667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5" w:customStyle="1">
    <w:name w:val="Grid Table 7 Colorful - Accent 1"/>
    <w:basedOn w:val="667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ffffff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6" w:customStyle="1">
    <w:name w:val="Grid Table 7 Colorful - Accent 2"/>
    <w:basedOn w:val="667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7" w:customStyle="1">
    <w:name w:val="Grid Table 7 Colorful - Accent 3"/>
    <w:basedOn w:val="667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ffffff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8" w:customStyle="1">
    <w:name w:val="Grid Table 7 Colorful - Accent 4"/>
    <w:basedOn w:val="667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9" w:customStyle="1">
    <w:name w:val="Grid Table 7 Colorful - Accent 5"/>
    <w:basedOn w:val="667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1Vert"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ffffff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0" w:customStyle="1">
    <w:name w:val="Grid Table 7 Colorful - Accent 6"/>
    <w:basedOn w:val="667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ffffff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1" w:customStyle="1">
    <w:name w:val="Список-таблица 1 светлая1"/>
    <w:basedOn w:val="66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1"/>
    <w:basedOn w:val="66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2"/>
    <w:basedOn w:val="66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3"/>
    <w:basedOn w:val="66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4"/>
    <w:basedOn w:val="66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5"/>
    <w:basedOn w:val="66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6"/>
    <w:basedOn w:val="66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Список-таблица 21"/>
    <w:basedOn w:val="667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1"/>
    <w:basedOn w:val="667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2"/>
    <w:basedOn w:val="667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3"/>
    <w:basedOn w:val="667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4"/>
    <w:basedOn w:val="667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5"/>
    <w:basedOn w:val="667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6"/>
    <w:basedOn w:val="667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5" w:customStyle="1">
    <w:name w:val="Список-таблица 31"/>
    <w:basedOn w:val="66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1"/>
    <w:basedOn w:val="667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2"/>
    <w:basedOn w:val="667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3"/>
    <w:basedOn w:val="667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4"/>
    <w:basedOn w:val="667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5"/>
    <w:basedOn w:val="667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6"/>
    <w:basedOn w:val="667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Список-таблица 41"/>
    <w:basedOn w:val="66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1"/>
    <w:basedOn w:val="667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2"/>
    <w:basedOn w:val="667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3"/>
    <w:basedOn w:val="667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4"/>
    <w:basedOn w:val="667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5"/>
    <w:basedOn w:val="667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6"/>
    <w:basedOn w:val="667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Список-таблица 5 темная1"/>
    <w:basedOn w:val="66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ffffff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1"/>
    <w:basedOn w:val="667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ffffff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2"/>
    <w:basedOn w:val="667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fffff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3"/>
    <w:basedOn w:val="667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ffffff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4"/>
    <w:basedOn w:val="667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ffff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5"/>
    <w:basedOn w:val="667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ffffff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6"/>
    <w:basedOn w:val="667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ffffff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Список-таблица 6 цветная1"/>
    <w:basedOn w:val="66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7" w:customStyle="1">
    <w:name w:val="List Table 6 Colorful - Accent 1"/>
    <w:basedOn w:val="667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8" w:customStyle="1">
    <w:name w:val="List Table 6 Colorful - Accent 2"/>
    <w:basedOn w:val="667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9" w:customStyle="1">
    <w:name w:val="List Table 6 Colorful - Accent 3"/>
    <w:basedOn w:val="667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0" w:customStyle="1">
    <w:name w:val="List Table 6 Colorful - Accent 4"/>
    <w:basedOn w:val="667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1" w:customStyle="1">
    <w:name w:val="List Table 6 Colorful - Accent 5"/>
    <w:basedOn w:val="667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2" w:customStyle="1">
    <w:name w:val="List Table 6 Colorful - Accent 6"/>
    <w:basedOn w:val="667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3" w:customStyle="1">
    <w:name w:val="Список-таблица 7 цветная1"/>
    <w:basedOn w:val="667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4" w:customStyle="1">
    <w:name w:val="List Table 7 Colorful - Accent 1"/>
    <w:basedOn w:val="667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ffffff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5" w:customStyle="1">
    <w:name w:val="List Table 7 Colorful - Accent 2"/>
    <w:basedOn w:val="667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6" w:customStyle="1">
    <w:name w:val="List Table 7 Colorful - Accent 3"/>
    <w:basedOn w:val="667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7" w:customStyle="1">
    <w:name w:val="List Table 7 Colorful - Accent 4"/>
    <w:basedOn w:val="667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8" w:customStyle="1">
    <w:name w:val="List Table 7 Colorful - Accent 5"/>
    <w:basedOn w:val="667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9" w:customStyle="1">
    <w:name w:val="List Table 7 Colorful - Accent 6"/>
    <w:basedOn w:val="667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0" w:customStyle="1">
    <w:name w:val="Lined - Accent"/>
    <w:basedOn w:val="66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1" w:customStyle="1">
    <w:name w:val="Lined - Accent 1"/>
    <w:basedOn w:val="66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</w:style>
  <w:style w:type="table" w:styleId="832" w:customStyle="1">
    <w:name w:val="Lined - Accent 2"/>
    <w:basedOn w:val="66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833" w:customStyle="1">
    <w:name w:val="Lined - Accent 3"/>
    <w:basedOn w:val="66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34" w:customStyle="1">
    <w:name w:val="Lined - Accent 4"/>
    <w:basedOn w:val="66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835" w:customStyle="1">
    <w:name w:val="Lined - Accent 5"/>
    <w:basedOn w:val="66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</w:style>
  <w:style w:type="table" w:styleId="836" w:customStyle="1">
    <w:name w:val="Lined - Accent 6"/>
    <w:basedOn w:val="66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</w:style>
  <w:style w:type="table" w:styleId="837" w:customStyle="1">
    <w:name w:val="Bordered &amp; Lined - Accent"/>
    <w:basedOn w:val="66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8" w:customStyle="1">
    <w:name w:val="Bordered &amp; Lined - Accent 1"/>
    <w:basedOn w:val="66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</w:style>
  <w:style w:type="table" w:styleId="839" w:customStyle="1">
    <w:name w:val="Bordered &amp; Lined - Accent 2"/>
    <w:basedOn w:val="66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840" w:customStyle="1">
    <w:name w:val="Bordered &amp; Lined - Accent 3"/>
    <w:basedOn w:val="66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41" w:customStyle="1">
    <w:name w:val="Bordered &amp; Lined - Accent 4"/>
    <w:basedOn w:val="66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842" w:customStyle="1">
    <w:name w:val="Bordered &amp; Lined - Accent 5"/>
    <w:basedOn w:val="66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</w:style>
  <w:style w:type="table" w:styleId="843" w:customStyle="1">
    <w:name w:val="Bordered &amp; Lined - Accent 6"/>
    <w:basedOn w:val="66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</w:style>
  <w:style w:type="table" w:styleId="844" w:customStyle="1">
    <w:name w:val="Bordered"/>
    <w:basedOn w:val="667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5" w:customStyle="1">
    <w:name w:val="Bordered - Accent 1"/>
    <w:basedOn w:val="667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6" w:customStyle="1">
    <w:name w:val="Bordered - Accent 2"/>
    <w:basedOn w:val="667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7" w:customStyle="1">
    <w:name w:val="Bordered - Accent 3"/>
    <w:basedOn w:val="667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8" w:customStyle="1">
    <w:name w:val="Bordered - Accent 4"/>
    <w:basedOn w:val="667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9" w:customStyle="1">
    <w:name w:val="Bordered - Accent 5"/>
    <w:basedOn w:val="667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0" w:customStyle="1">
    <w:name w:val="Bordered - Accent 6"/>
    <w:basedOn w:val="667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1">
    <w:name w:val="Hyperlink"/>
    <w:uiPriority w:val="99"/>
    <w:unhideWhenUsed/>
    <w:rPr>
      <w:color w:val="0563c1" w:themeColor="hyperlink"/>
      <w:u w:val="single"/>
    </w:rPr>
  </w:style>
  <w:style w:type="paragraph" w:styleId="852">
    <w:name w:val="footnote text"/>
    <w:basedOn w:val="656"/>
    <w:link w:val="853"/>
    <w:uiPriority w:val="99"/>
    <w:semiHidden/>
    <w:unhideWhenUsed/>
    <w:pPr>
      <w:spacing w:after="40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basedOn w:val="666"/>
    <w:uiPriority w:val="99"/>
    <w:unhideWhenUsed/>
    <w:rPr>
      <w:vertAlign w:val="superscript"/>
    </w:rPr>
  </w:style>
  <w:style w:type="paragraph" w:styleId="855">
    <w:name w:val="endnote text"/>
    <w:basedOn w:val="656"/>
    <w:link w:val="856"/>
    <w:uiPriority w:val="99"/>
    <w:semiHidden/>
    <w:unhideWhenUsed/>
    <w:rPr>
      <w:sz w:val="20"/>
    </w:r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basedOn w:val="666"/>
    <w:uiPriority w:val="99"/>
    <w:semiHidden/>
    <w:unhideWhenUsed/>
    <w:rPr>
      <w:vertAlign w:val="superscript"/>
    </w:rPr>
  </w:style>
  <w:style w:type="paragraph" w:styleId="858">
    <w:name w:val="toc 1"/>
    <w:basedOn w:val="656"/>
    <w:next w:val="656"/>
    <w:uiPriority w:val="39"/>
    <w:unhideWhenUsed/>
    <w:pPr>
      <w:spacing w:after="57"/>
    </w:pPr>
  </w:style>
  <w:style w:type="paragraph" w:styleId="859">
    <w:name w:val="toc 2"/>
    <w:basedOn w:val="656"/>
    <w:next w:val="656"/>
    <w:uiPriority w:val="39"/>
    <w:unhideWhenUsed/>
    <w:pPr>
      <w:ind w:left="283"/>
      <w:spacing w:after="57"/>
    </w:pPr>
  </w:style>
  <w:style w:type="paragraph" w:styleId="860">
    <w:name w:val="toc 3"/>
    <w:basedOn w:val="656"/>
    <w:next w:val="656"/>
    <w:uiPriority w:val="39"/>
    <w:unhideWhenUsed/>
    <w:pPr>
      <w:ind w:left="567"/>
      <w:spacing w:after="57"/>
    </w:pPr>
  </w:style>
  <w:style w:type="paragraph" w:styleId="861">
    <w:name w:val="toc 4"/>
    <w:basedOn w:val="656"/>
    <w:next w:val="656"/>
    <w:uiPriority w:val="39"/>
    <w:unhideWhenUsed/>
    <w:pPr>
      <w:ind w:left="850"/>
      <w:spacing w:after="57"/>
    </w:pPr>
  </w:style>
  <w:style w:type="paragraph" w:styleId="862">
    <w:name w:val="toc 5"/>
    <w:basedOn w:val="656"/>
    <w:next w:val="656"/>
    <w:uiPriority w:val="39"/>
    <w:unhideWhenUsed/>
    <w:pPr>
      <w:ind w:left="1134"/>
      <w:spacing w:after="57"/>
    </w:pPr>
  </w:style>
  <w:style w:type="paragraph" w:styleId="863">
    <w:name w:val="toc 6"/>
    <w:basedOn w:val="656"/>
    <w:next w:val="656"/>
    <w:uiPriority w:val="39"/>
    <w:unhideWhenUsed/>
    <w:pPr>
      <w:ind w:left="1417"/>
      <w:spacing w:after="57"/>
    </w:pPr>
  </w:style>
  <w:style w:type="paragraph" w:styleId="864">
    <w:name w:val="toc 7"/>
    <w:basedOn w:val="656"/>
    <w:next w:val="656"/>
    <w:uiPriority w:val="39"/>
    <w:unhideWhenUsed/>
    <w:pPr>
      <w:ind w:left="1701"/>
      <w:spacing w:after="57"/>
    </w:pPr>
  </w:style>
  <w:style w:type="paragraph" w:styleId="865">
    <w:name w:val="toc 8"/>
    <w:basedOn w:val="656"/>
    <w:next w:val="656"/>
    <w:uiPriority w:val="39"/>
    <w:unhideWhenUsed/>
    <w:pPr>
      <w:ind w:left="1984"/>
      <w:spacing w:after="57"/>
    </w:pPr>
  </w:style>
  <w:style w:type="paragraph" w:styleId="866">
    <w:name w:val="toc 9"/>
    <w:basedOn w:val="656"/>
    <w:next w:val="656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656"/>
    <w:next w:val="656"/>
    <w:uiPriority w:val="99"/>
    <w:unhideWhenUsed/>
  </w:style>
  <w:style w:type="table" w:styleId="869">
    <w:name w:val="Table Grid"/>
    <w:basedOn w:val="667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0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871">
    <w:name w:val="Balloon Text"/>
    <w:basedOn w:val="656"/>
    <w:semiHidden/>
    <w:rPr>
      <w:rFonts w:ascii="Tahoma" w:hAnsi="Tahoma" w:cs="Tahoma"/>
      <w:sz w:val="16"/>
      <w:szCs w:val="16"/>
    </w:rPr>
  </w:style>
  <w:style w:type="paragraph" w:styleId="872" w:customStyle="1">
    <w:name w:val="Знак"/>
    <w:basedOn w:val="6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873">
    <w:name w:val="Header"/>
    <w:basedOn w:val="656"/>
    <w:link w:val="874"/>
    <w:uiPriority w:val="99"/>
    <w:pPr>
      <w:tabs>
        <w:tab w:val="center" w:pos="4677" w:leader="none"/>
        <w:tab w:val="right" w:pos="9355" w:leader="none"/>
      </w:tabs>
    </w:pPr>
  </w:style>
  <w:style w:type="character" w:styleId="874" w:customStyle="1">
    <w:name w:val="Верхний колонтитул Знак"/>
    <w:link w:val="873"/>
    <w:uiPriority w:val="99"/>
    <w:rPr>
      <w:sz w:val="24"/>
      <w:szCs w:val="24"/>
    </w:rPr>
  </w:style>
  <w:style w:type="paragraph" w:styleId="875">
    <w:name w:val="Footer"/>
    <w:basedOn w:val="656"/>
    <w:link w:val="876"/>
    <w:pPr>
      <w:tabs>
        <w:tab w:val="center" w:pos="4677" w:leader="none"/>
        <w:tab w:val="right" w:pos="9355" w:leader="none"/>
      </w:tabs>
    </w:pPr>
  </w:style>
  <w:style w:type="character" w:styleId="876" w:customStyle="1">
    <w:name w:val="Нижний колонтитул Знак"/>
    <w:link w:val="875"/>
    <w:rPr>
      <w:sz w:val="24"/>
      <w:szCs w:val="24"/>
    </w:rPr>
  </w:style>
  <w:style w:type="paragraph" w:styleId="877" w:customStyle="1">
    <w:name w:val="ConsPlusTitle"/>
    <w:pPr>
      <w:widowControl w:val="off"/>
    </w:pPr>
    <w:rPr>
      <w:rFonts w:eastAsia="Calibri"/>
      <w:b/>
      <w:bCs/>
      <w:sz w:val="28"/>
      <w:szCs w:val="28"/>
    </w:rPr>
  </w:style>
  <w:style w:type="table" w:styleId="878" w:customStyle="1">
    <w:name w:val="Сетка таблицы1"/>
    <w:basedOn w:val="667"/>
    <w:next w:val="869"/>
    <w:uiPriority w:val="59"/>
    <w:rPr>
      <w:rFonts w:ascii="Calibri" w:hAnsi="Calibri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9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880" w:customStyle="1">
    <w:name w:val="Знак"/>
    <w:basedOn w:val="6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881" w:customStyle="1">
    <w:name w:val="Сетка таблицы2"/>
    <w:basedOn w:val="667"/>
    <w:next w:val="86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82" w:customStyle="1">
    <w:name w:val="Знак"/>
    <w:basedOn w:val="6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883" w:customStyle="1">
    <w:name w:val="Сетка таблицы11"/>
    <w:basedOn w:val="667"/>
    <w:next w:val="869"/>
    <w:uiPriority w:val="59"/>
    <w:rPr>
      <w:rFonts w:ascii="Calibri" w:hAnsi="Calibri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84">
    <w:name w:val="Normal (Web)"/>
    <w:basedOn w:val="656"/>
    <w:uiPriority w:val="99"/>
    <w:unhideWhenUsed/>
    <w:pPr>
      <w:spacing w:before="100" w:beforeAutospacing="1" w:after="100" w:afterAutospacing="1"/>
    </w:pPr>
  </w:style>
  <w:style w:type="character" w:styleId="885">
    <w:name w:val="Strong"/>
    <w:basedOn w:val="666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hyperlink" Target="http://www.pravo.gov.ru" TargetMode="External"/><Relationship Id="rId13" Type="http://schemas.openxmlformats.org/officeDocument/2006/relationships/hyperlink" Target="http://pravo.gov.ru" TargetMode="External"/><Relationship Id="rId14" Type="http://schemas.openxmlformats.org/officeDocument/2006/relationships/hyperlink" Target="mailto:gerasimova_ia@belvet.belregion.ru" TargetMode="External"/><Relationship Id="rId15" Type="http://schemas.openxmlformats.org/officeDocument/2006/relationships/hyperlink" Target="https://login.consultant.ru/link/?req=doc&amp;base=LAW&amp;n=482855&amp;date=25.07.2025" TargetMode="External"/><Relationship Id="rId16" Type="http://schemas.openxmlformats.org/officeDocument/2006/relationships/hyperlink" Target="https://login.consultant.ru/link/?req=doc&amp;base=LAW&amp;n=482855&amp;date=25.07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9ACB7EC3-C28A-44B5-A6C4-DAC3CD8917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1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kozlova_ev</dc:creator>
  <cp:revision>17</cp:revision>
  <dcterms:created xsi:type="dcterms:W3CDTF">2025-07-24T13:40:00Z</dcterms:created>
  <dcterms:modified xsi:type="dcterms:W3CDTF">2025-07-30T11:57:00Z</dcterms:modified>
</cp:coreProperties>
</file>