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Стандартный расчет издержек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ind w:firstLine="709"/>
        <w:jc w:val="both"/>
        <w:spacing w:before="0" w:after="0" w:line="240" w:lineRule="auto"/>
        <w:rPr>
          <w:rFonts w:ascii="Liberation Serif" w:hAnsi="Liberation Serif" w:cs="Liberation Serif"/>
          <w:i/>
          <w:sz w:val="28"/>
          <w:szCs w:val="28"/>
          <w:shd w:val="clear" w:color="auto" w:fill="ffffff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Название </w:t>
      </w: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требования</w:t>
      </w: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:</w:t>
      </w: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lang w:eastAsia="ru-RU"/>
        </w:rPr>
        <w:t xml:space="preserve">п</w:t>
      </w: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6"/>
          <w:szCs w:val="26"/>
          <w:shd w:val="clear" w:color="auto" w:fill="ffffff"/>
        </w:rPr>
        <w:t xml:space="preserve">редоставление пакета документов при проведении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документарной проверки</w:t>
      </w:r>
      <w:bookmarkStart w:id="0" w:name="undefined"/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6"/>
          <w:szCs w:val="26"/>
        </w:rPr>
      </w:r>
      <w:bookmarkEnd w:id="0"/>
      <w:r/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  <w:lang w:eastAsia="ru-RU"/>
        </w:rPr>
      </w:r>
      <w:r>
        <w:rPr>
          <w:rFonts w:ascii="Liberation Serif" w:hAnsi="Liberation Serif" w:cs="Liberation Serif"/>
          <w:b w:val="0"/>
          <w:bCs w:val="0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Тип требования: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подготовка и представление документов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Частота: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1 раз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в 2 года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lang w:eastAsia="ru-RU"/>
        </w:rPr>
        <w:t xml:space="preserve">Масштаб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: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140 ед.</w:t>
      </w:r>
      <w:r>
        <w:rPr>
          <w:rFonts w:ascii="Liberation Serif" w:hAnsi="Liberation Serif" w:cs="Liberation Serif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i/>
          <w:sz w:val="26"/>
          <w:szCs w:val="26"/>
          <w:shd w:val="clear" w:color="auto" w:fill="ffffff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66353,8 рублей. </w:t>
      </w:r>
      <w:r>
        <w:rPr>
          <w:rFonts w:ascii="Liberation Serif" w:hAnsi="Liberation Serif" w:cs="Liberation Serif"/>
          <w:i/>
          <w:sz w:val="26"/>
          <w:szCs w:val="26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  <w:lang w:eastAsia="ru-RU"/>
        </w:rPr>
        <w:suppressLineNumbers w:val="0"/>
      </w:pPr>
      <w:r>
        <w:rPr>
          <w:rFonts w:ascii="Liberation Serif" w:hAnsi="Liberation Serif" w:eastAsia="Liberation Serif" w:cs="Liberation Serif"/>
          <w:b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377,01 рубля 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(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66353,8 руб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/22 дня/ 8 раб. часов). </w:t>
      </w:r>
      <w:r/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  <w:suppressLineNumbers w:val="0"/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Написание сопроводительного письма - 1,00 чел./час.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Предоставление и копирование документов (примерный перечень):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- копия устава юридического лица -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1,00 чел./часов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;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- сведения из Единого государственного реестра юридических лиц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- 0,5 чел./часов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копия 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сновн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ого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государственн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ого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регистрационн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ого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номер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а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юридического лица (ОГРН) либо индивидуального предпринимателя (ОГРНИП) - 0,2 чел./часов;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копия и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дентификационн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ого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номер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а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налогоплательщика - 0,2 чел./часов;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jc w:val="both"/>
        <w:spacing w:before="0" w:after="0" w:line="240" w:lineRule="auto"/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- копии приказов и должностных инструкций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-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1,00 чел./часов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;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p>
      <w:pPr>
        <w:jc w:val="both"/>
        <w:spacing w:before="0" w:after="0" w:line="240" w:lineRule="auto"/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копии запрашиваемых документов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1,00 чел./часов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</w:pPr>
      <w:r>
        <w:rPr>
          <w:rFonts w:ascii="Liberation Serif" w:hAnsi="Liberation Serif" w:eastAsia="Liberation Serif" w:cs="Liberation Serif"/>
          <w:sz w:val="26"/>
          <w:szCs w:val="26"/>
          <w:shd w:val="clear" w:color="auto" w:fill="ffffff"/>
          <w:lang w:eastAsia="ru-RU"/>
        </w:rPr>
        <w:t xml:space="preserve">Предоставление запрашиваемых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ffffff"/>
          <w:lang w:eastAsia="ru-RU"/>
        </w:rPr>
        <w:t xml:space="preserve">документов (пакета документов) в УГЖН Белгородской области -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ffffff"/>
          <w:lang w:eastAsia="ru-RU"/>
        </w:rPr>
        <w:t xml:space="preserve">2,00 чел./часов.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65"/>
        <w:ind w:firstLine="709"/>
        <w:jc w:val="both"/>
        <w:spacing w:before="0" w:after="0" w:line="240" w:lineRule="auto"/>
        <w:suppressLineNumbers w:val="0"/>
      </w:pPr>
      <w:r>
        <w:rPr>
          <w:rFonts w:ascii="Liberation Serif" w:hAnsi="Liberation Serif" w:eastAsia="Liberation Serif" w:cs="Liberation Serif"/>
          <w:iCs/>
          <w:sz w:val="26"/>
          <w:szCs w:val="26"/>
          <w:shd w:val="clear" w:color="auto" w:fill="ffffff"/>
        </w:rPr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Итого трудозатрат:</w:t>
      </w:r>
      <w:r>
        <w:rPr>
          <w:rFonts w:ascii="Liberation Serif" w:hAnsi="Liberation Serif" w:eastAsia="Liberation Serif" w:cs="Liberation Serif"/>
          <w:iCs/>
          <w:sz w:val="26"/>
          <w:szCs w:val="26"/>
          <w:shd w:val="clear" w:color="auto" w:fill="ffffff"/>
        </w:rPr>
        <w:t xml:space="preserve"> всего: </w:t>
      </w:r>
      <w:r>
        <w:rPr>
          <w:rFonts w:ascii="Liberation Serif" w:hAnsi="Liberation Serif" w:eastAsia="Liberation Serif" w:cs="Liberation Serif"/>
          <w:iCs/>
          <w:sz w:val="26"/>
          <w:szCs w:val="26"/>
          <w:shd w:val="clear" w:color="auto" w:fill="ffffff"/>
        </w:rPr>
        <w:t xml:space="preserve">6,9 (чел./часа). 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left"/>
        <w:spacing w:after="0" w:line="240" w:lineRule="auto"/>
        <w:suppressLineNumbers w:val="0"/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Общая стоимость требования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  <w:t xml:space="preserve">: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364,2 тыс.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руб.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</w:r>
      <w:r/>
    </w:p>
    <w:p>
      <w:pPr>
        <w:ind w:firstLine="709"/>
        <w:jc w:val="left"/>
        <w:spacing w:after="0" w:line="240" w:lineRule="auto"/>
        <w:rPr>
          <w:rFonts w:ascii="Liberation Serif" w:hAnsi="Liberation Serif" w:eastAsia="Liberation Serif" w:cs="Liberation Serif"/>
          <w:highlight w:val="none"/>
          <w:lang w:eastAsia="ru-RU"/>
        </w:rPr>
        <w:suppressLineNumbers w:val="0"/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(6,9 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чел./часов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*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377,01 руб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.*140 ед.)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lang w:eastAsia="ru-RU"/>
        </w:rPr>
      </w:r>
      <w:r/>
    </w:p>
    <w:p>
      <w:pPr>
        <w:ind w:left="0" w:right="0" w:firstLine="708"/>
        <w:jc w:val="both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eastAsia="Liberation Serif" w:cs="Liberation Serif"/>
          <w:iCs/>
          <w:color w:val="000000"/>
          <w:sz w:val="26"/>
          <w:szCs w:val="26"/>
          <w:highlight w:val="none"/>
          <w:shd w:val="clear" w:color="auto" w:fill="ffffff"/>
        </w:rPr>
      </w:r>
      <w:r>
        <w:rPr>
          <w:rFonts w:ascii="Liberation Serif" w:hAnsi="Liberation Serif" w:cs="Liberation Serif"/>
          <w:color w:val="000000"/>
          <w:sz w:val="26"/>
          <w:szCs w:val="26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Liberation Serif" w:hAnsi="Liberation Serif" w:eastAsia="Liberation Serif" w:cs="Liberation Serif"/>
          <w:b w:val="0"/>
          <w:bCs w:val="0"/>
          <w:iCs/>
          <w:color w:val="000000"/>
          <w:sz w:val="26"/>
          <w:szCs w:val="26"/>
          <w:highlight w:val="white"/>
          <w:shd w:val="clear" w:color="auto" w:fill="ffffff"/>
        </w:rPr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white"/>
        </w:rPr>
        <w:t xml:space="preserve">Соблюдение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юридическими лицами, индивидуальными предпринимателями, осуществляющими предпринимательскую деятельность по управлению многоквартирными домами на основании лицензии, лицензионных требований, установленных в соответствии со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статьей 193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Жилищного кодекса Российской Федерации,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будет способствовать с</w:t>
      </w:r>
      <w:r>
        <w:rPr>
          <w:rFonts w:ascii="Liberation Serif" w:hAnsi="Liberation Serif" w:eastAsia="Liberation Serif" w:cs="Liberation Serif"/>
          <w:b w:val="0"/>
          <w:bCs w:val="0"/>
          <w:iCs/>
          <w:color w:val="000000"/>
          <w:sz w:val="26"/>
          <w:szCs w:val="26"/>
          <w:highlight w:val="none"/>
          <w:shd w:val="clear" w:color="auto" w:fill="ffffff"/>
        </w:rPr>
        <w:t xml:space="preserve">нижению категории риска объектов, 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включенных в план контрольно-надзорных мероприятий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, что в свою очередь позволит хозяйствующим субъектам избежать дополнительных плановых проверок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 и снизить трудозатраты на их проведение</w:t>
      </w:r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none"/>
        </w:rPr>
        <w:t xml:space="preserve">.</w:t>
      </w:r>
      <w:r/>
      <w:r>
        <w:rPr>
          <w:rFonts w:ascii="Liberation Serif" w:hAnsi="Liberation Serif" w:eastAsia="Liberation Serif" w:cs="Liberation Serif"/>
          <w:b w:val="0"/>
          <w:bCs w:val="0"/>
          <w:sz w:val="26"/>
          <w:szCs w:val="26"/>
          <w:highlight w:val="white"/>
        </w:rPr>
      </w:r>
      <w:r/>
    </w:p>
    <w:sectPr>
      <w:footnotePr/>
      <w:endnotePr/>
      <w:type w:val="nextPage"/>
      <w:pgSz w:w="11906" w:h="16838" w:orient="portrait"/>
      <w:pgMar w:top="1134" w:right="566" w:bottom="993" w:left="155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60"/>
      </w:pPr>
      <w:rPr>
        <w:rFonts w:eastAsia="Calibri"/>
        <w:b w:val="0"/>
        <w:i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650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51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57">
    <w:name w:val="Title Char"/>
    <w:basedOn w:val="675"/>
    <w:link w:val="689"/>
    <w:uiPriority w:val="10"/>
    <w:rPr>
      <w:sz w:val="48"/>
      <w:szCs w:val="48"/>
    </w:rPr>
  </w:style>
  <w:style w:type="character" w:styleId="658">
    <w:name w:val="Subtitle Char"/>
    <w:basedOn w:val="675"/>
    <w:link w:val="691"/>
    <w:uiPriority w:val="11"/>
    <w:rPr>
      <w:sz w:val="24"/>
      <w:szCs w:val="24"/>
    </w:rPr>
  </w:style>
  <w:style w:type="character" w:styleId="659">
    <w:name w:val="Quote Char"/>
    <w:link w:val="693"/>
    <w:uiPriority w:val="29"/>
    <w:rPr>
      <w:i/>
    </w:rPr>
  </w:style>
  <w:style w:type="character" w:styleId="660">
    <w:name w:val="Intense Quote Char"/>
    <w:link w:val="695"/>
    <w:uiPriority w:val="30"/>
    <w:rPr>
      <w:i/>
    </w:rPr>
  </w:style>
  <w:style w:type="character" w:styleId="661">
    <w:name w:val="Header Char"/>
    <w:basedOn w:val="675"/>
    <w:link w:val="697"/>
    <w:uiPriority w:val="99"/>
  </w:style>
  <w:style w:type="character" w:styleId="662">
    <w:name w:val="Caption Char"/>
    <w:basedOn w:val="701"/>
    <w:link w:val="699"/>
    <w:uiPriority w:val="99"/>
  </w:style>
  <w:style w:type="character" w:styleId="663">
    <w:name w:val="Footnote Text Char"/>
    <w:link w:val="830"/>
    <w:uiPriority w:val="99"/>
    <w:rPr>
      <w:sz w:val="18"/>
    </w:rPr>
  </w:style>
  <w:style w:type="character" w:styleId="664">
    <w:name w:val="Endnote Text Char"/>
    <w:link w:val="833"/>
    <w:uiPriority w:val="99"/>
    <w:rPr>
      <w:sz w:val="20"/>
    </w:rPr>
  </w:style>
  <w:style w:type="paragraph" w:styleId="66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  <w:spacing w:after="200" w:line="276" w:lineRule="auto"/>
    </w:pPr>
  </w:style>
  <w:style w:type="paragraph" w:styleId="688">
    <w:name w:val="No Spacing"/>
    <w:uiPriority w:val="1"/>
    <w:qFormat/>
    <w:rPr>
      <w:lang w:eastAsia="zh-CN"/>
    </w:rPr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link w:val="697"/>
    <w:uiPriority w:val="99"/>
  </w:style>
  <w:style w:type="paragraph" w:styleId="699">
    <w:name w:val="Footer"/>
    <w:basedOn w:val="665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65"/>
    <w:next w:val="665"/>
    <w:link w:val="66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2" w:customStyle="1">
    <w:name w:val="Нижний колонтитул Знак"/>
    <w:link w:val="699"/>
    <w:uiPriority w:val="99"/>
  </w:style>
  <w:style w:type="table" w:styleId="703">
    <w:name w:val="Table Grid"/>
    <w:basedOn w:val="676"/>
    <w:uiPriority w:val="39"/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uiPriority w:val="99"/>
    <w:unhideWhenUsed/>
    <w:rPr>
      <w:color w:val="0000ff"/>
      <w:u w:val="single"/>
    </w:rPr>
  </w:style>
  <w:style w:type="paragraph" w:styleId="830">
    <w:name w:val="footnote text"/>
    <w:basedOn w:val="665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65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65"/>
    <w:next w:val="665"/>
    <w:uiPriority w:val="39"/>
    <w:unhideWhenUsed/>
    <w:pPr>
      <w:spacing w:after="57"/>
    </w:pPr>
  </w:style>
  <w:style w:type="paragraph" w:styleId="83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basedOn w:val="665"/>
    <w:next w:val="665"/>
    <w:uiPriority w:val="99"/>
    <w:unhideWhenUsed/>
    <w:pPr>
      <w:spacing w:after="0"/>
    </w:pPr>
  </w:style>
  <w:style w:type="paragraph" w:styleId="847">
    <w:name w:val="Balloon Text"/>
    <w:basedOn w:val="665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39</cp:revision>
  <dcterms:created xsi:type="dcterms:W3CDTF">2023-01-20T07:36:00Z</dcterms:created>
  <dcterms:modified xsi:type="dcterms:W3CDTF">2025-07-21T13:21:27Z</dcterms:modified>
  <cp:version>1048576</cp:version>
</cp:coreProperties>
</file>